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B89" w:rsidRPr="005B35AA" w:rsidRDefault="00135470" w:rsidP="00EF2B89">
      <w:pPr>
        <w:spacing w:after="0" w:line="250" w:lineRule="atLeast"/>
        <w:jc w:val="center"/>
        <w:rPr>
          <w:rFonts w:ascii="Arial" w:eastAsia="Times New Roman" w:hAnsi="Arial" w:cs="Times New Roman"/>
          <w:b/>
          <w:bCs/>
          <w:spacing w:val="-4"/>
          <w:sz w:val="40"/>
          <w:szCs w:val="40"/>
          <w:lang w:val="en-GB" w:eastAsia="de-DE"/>
        </w:rPr>
      </w:pPr>
      <w:r>
        <w:rPr>
          <w:rFonts w:ascii="Arial" w:eastAsia="Times New Roman" w:hAnsi="Arial" w:cs="Times New Roman"/>
          <w:b/>
          <w:bCs/>
          <w:spacing w:val="-4"/>
          <w:sz w:val="40"/>
          <w:szCs w:val="40"/>
          <w:lang w:val="en-GB" w:eastAsia="de-DE"/>
        </w:rPr>
        <w:fldChar w:fldCharType="begin">
          <w:ffData>
            <w:name w:val="Text3"/>
            <w:enabled/>
            <w:calcOnExit w:val="0"/>
            <w:textInput>
              <w:default w:val="Recommendations for NGMN KPIs and Requirements for 5G"/>
            </w:textInput>
          </w:ffData>
        </w:fldChar>
      </w:r>
      <w:bookmarkStart w:id="0" w:name="Text3"/>
      <w:r>
        <w:rPr>
          <w:rFonts w:ascii="Arial" w:eastAsia="Times New Roman" w:hAnsi="Arial" w:cs="Times New Roman"/>
          <w:b/>
          <w:bCs/>
          <w:spacing w:val="-4"/>
          <w:sz w:val="40"/>
          <w:szCs w:val="40"/>
          <w:lang w:val="en-GB" w:eastAsia="de-DE"/>
        </w:rPr>
        <w:instrText xml:space="preserve"> FORMTEXT </w:instrText>
      </w:r>
      <w:r>
        <w:rPr>
          <w:rFonts w:ascii="Arial" w:eastAsia="Times New Roman" w:hAnsi="Arial" w:cs="Times New Roman"/>
          <w:b/>
          <w:bCs/>
          <w:spacing w:val="-4"/>
          <w:sz w:val="40"/>
          <w:szCs w:val="40"/>
          <w:lang w:val="en-GB" w:eastAsia="de-DE"/>
        </w:rPr>
      </w:r>
      <w:r>
        <w:rPr>
          <w:rFonts w:ascii="Arial" w:eastAsia="Times New Roman" w:hAnsi="Arial" w:cs="Times New Roman"/>
          <w:b/>
          <w:bCs/>
          <w:spacing w:val="-4"/>
          <w:sz w:val="40"/>
          <w:szCs w:val="40"/>
          <w:lang w:val="en-GB" w:eastAsia="de-DE"/>
        </w:rPr>
        <w:fldChar w:fldCharType="separate"/>
      </w:r>
      <w:r>
        <w:rPr>
          <w:rFonts w:ascii="Arial" w:eastAsia="Times New Roman" w:hAnsi="Arial" w:cs="Times New Roman"/>
          <w:b/>
          <w:bCs/>
          <w:noProof/>
          <w:spacing w:val="-4"/>
          <w:sz w:val="40"/>
          <w:szCs w:val="40"/>
          <w:lang w:val="en-GB" w:eastAsia="de-DE"/>
        </w:rPr>
        <w:t>Recommendations for NGMN KPIs and Requirements for 5G</w:t>
      </w:r>
      <w:r>
        <w:rPr>
          <w:rFonts w:ascii="Arial" w:eastAsia="Times New Roman" w:hAnsi="Arial" w:cs="Times New Roman"/>
          <w:b/>
          <w:bCs/>
          <w:spacing w:val="-4"/>
          <w:sz w:val="40"/>
          <w:szCs w:val="40"/>
          <w:lang w:val="en-GB" w:eastAsia="de-DE"/>
        </w:rPr>
        <w:fldChar w:fldCharType="end"/>
      </w:r>
      <w:bookmarkEnd w:id="0"/>
    </w:p>
    <w:p w:rsidR="00EF2B89" w:rsidRPr="005B35AA" w:rsidRDefault="00EF2B89" w:rsidP="00EF2B89">
      <w:pPr>
        <w:spacing w:after="0" w:line="250" w:lineRule="atLeast"/>
        <w:jc w:val="center"/>
        <w:rPr>
          <w:rFonts w:ascii="Arial" w:eastAsia="Times New Roman" w:hAnsi="Arial" w:cs="Times New Roman"/>
          <w:b/>
          <w:bCs/>
          <w:spacing w:val="-4"/>
          <w:sz w:val="32"/>
          <w:szCs w:val="32"/>
          <w:lang w:val="en-GB" w:eastAsia="de-DE"/>
        </w:rPr>
      </w:pPr>
    </w:p>
    <w:p w:rsidR="00EF2B89" w:rsidRPr="005B35AA" w:rsidRDefault="00EF2B89" w:rsidP="00EF2B89">
      <w:pPr>
        <w:spacing w:after="0" w:line="250" w:lineRule="atLeast"/>
        <w:jc w:val="center"/>
        <w:rPr>
          <w:rFonts w:ascii="Arial" w:eastAsia="Times New Roman" w:hAnsi="Arial" w:cs="Times New Roman"/>
          <w:b/>
          <w:bCs/>
          <w:spacing w:val="-4"/>
          <w:sz w:val="32"/>
          <w:szCs w:val="32"/>
          <w:lang w:val="en-GB" w:eastAsia="de-DE"/>
        </w:rPr>
      </w:pPr>
      <w:r w:rsidRPr="005B35AA">
        <w:rPr>
          <w:rFonts w:ascii="Arial" w:eastAsia="Times New Roman" w:hAnsi="Arial" w:cs="Times New Roman"/>
          <w:b/>
          <w:bCs/>
          <w:spacing w:val="-4"/>
          <w:sz w:val="32"/>
          <w:szCs w:val="32"/>
          <w:lang w:val="en-GB" w:eastAsia="de-DE"/>
        </w:rPr>
        <w:t>by NGMN Alliance</w:t>
      </w:r>
    </w:p>
    <w:p w:rsidR="00EF2B89" w:rsidRPr="005B35AA" w:rsidRDefault="00EF2B89" w:rsidP="00EF2B89">
      <w:pPr>
        <w:spacing w:after="0" w:line="250" w:lineRule="atLeast"/>
        <w:rPr>
          <w:rFonts w:ascii="Arial" w:eastAsia="Times New Roman" w:hAnsi="Arial" w:cs="Times New Roman"/>
          <w:b/>
          <w:bCs/>
          <w:smallCaps/>
          <w:spacing w:val="5"/>
          <w:sz w:val="24"/>
          <w:szCs w:val="24"/>
          <w:lang w:val="en-GB" w:eastAsia="de-DE"/>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5908"/>
      </w:tblGrid>
      <w:tr w:rsidR="00EF2B89" w:rsidRPr="005B35AA" w:rsidTr="00DF0505">
        <w:tc>
          <w:tcPr>
            <w:tcW w:w="3549" w:type="dxa"/>
            <w:tcBorders>
              <w:top w:val="single" w:sz="4" w:space="0" w:color="000000"/>
              <w:bottom w:val="nil"/>
              <w:right w:val="single" w:sz="4" w:space="0" w:color="000000"/>
            </w:tcBorders>
            <w:shd w:val="clear" w:color="auto" w:fill="auto"/>
          </w:tcPr>
          <w:p w:rsidR="00EF2B89" w:rsidRPr="005B35AA" w:rsidRDefault="00EF2B89" w:rsidP="00DF0505">
            <w:pPr>
              <w:spacing w:before="80" w:after="80" w:line="240" w:lineRule="auto"/>
              <w:rPr>
                <w:rFonts w:ascii="Arial" w:eastAsia="Times New Roman" w:hAnsi="Arial" w:cs="Times New Roman"/>
                <w:b/>
                <w:bCs/>
                <w:smallCaps/>
                <w:spacing w:val="5"/>
                <w:sz w:val="24"/>
                <w:szCs w:val="24"/>
                <w:lang w:val="en-GB" w:eastAsia="de-DE"/>
              </w:rPr>
            </w:pPr>
            <w:r w:rsidRPr="005B35AA">
              <w:rPr>
                <w:rFonts w:ascii="Arial" w:eastAsia="Times New Roman" w:hAnsi="Arial" w:cs="Times New Roman"/>
                <w:b/>
                <w:bCs/>
                <w:spacing w:val="-4"/>
                <w:sz w:val="24"/>
                <w:szCs w:val="24"/>
                <w:lang w:val="en-GB" w:eastAsia="de-DE"/>
              </w:rPr>
              <w:t>Version:</w:t>
            </w:r>
          </w:p>
        </w:tc>
        <w:tc>
          <w:tcPr>
            <w:tcW w:w="5908" w:type="dxa"/>
            <w:tcBorders>
              <w:left w:val="single" w:sz="4" w:space="0" w:color="000000"/>
            </w:tcBorders>
            <w:shd w:val="clear" w:color="auto" w:fill="auto"/>
          </w:tcPr>
          <w:p w:rsidR="00EF2B89" w:rsidRPr="005B35AA" w:rsidRDefault="00EF2B89" w:rsidP="00DF0505">
            <w:pPr>
              <w:spacing w:before="80" w:after="80" w:line="240" w:lineRule="auto"/>
              <w:rPr>
                <w:rFonts w:ascii="Arial" w:eastAsia="Times New Roman" w:hAnsi="Arial" w:cs="Times New Roman"/>
                <w:b/>
                <w:bCs/>
                <w:smallCaps/>
                <w:spacing w:val="5"/>
                <w:sz w:val="24"/>
                <w:szCs w:val="24"/>
                <w:lang w:val="en-GB" w:eastAsia="de-DE"/>
              </w:rPr>
            </w:pPr>
            <w:r w:rsidRPr="005B35AA">
              <w:rPr>
                <w:rFonts w:ascii="Arial" w:eastAsia="Times New Roman" w:hAnsi="Arial" w:cs="Times New Roman"/>
                <w:b/>
                <w:bCs/>
                <w:spacing w:val="-4"/>
                <w:sz w:val="24"/>
                <w:szCs w:val="24"/>
                <w:lang w:val="en-GB" w:eastAsia="de-DE"/>
              </w:rPr>
              <w:fldChar w:fldCharType="begin">
                <w:ffData>
                  <w:name w:val="Text2"/>
                  <w:enabled/>
                  <w:calcOnExit w:val="0"/>
                  <w:textInput>
                    <w:default w:val="1.0"/>
                  </w:textInput>
                </w:ffData>
              </w:fldChar>
            </w:r>
            <w:bookmarkStart w:id="1" w:name="Text2"/>
            <w:r w:rsidRPr="005B35AA">
              <w:rPr>
                <w:rFonts w:ascii="Arial" w:eastAsia="Times New Roman" w:hAnsi="Arial" w:cs="Times New Roman"/>
                <w:b/>
                <w:bCs/>
                <w:spacing w:val="-4"/>
                <w:sz w:val="24"/>
                <w:szCs w:val="24"/>
                <w:lang w:val="en-GB" w:eastAsia="de-DE"/>
              </w:rPr>
              <w:instrText xml:space="preserve"> FORMTEXT </w:instrText>
            </w:r>
            <w:r w:rsidRPr="005B35AA">
              <w:rPr>
                <w:rFonts w:ascii="Arial" w:eastAsia="Times New Roman" w:hAnsi="Arial" w:cs="Times New Roman"/>
                <w:b/>
                <w:bCs/>
                <w:spacing w:val="-4"/>
                <w:sz w:val="24"/>
                <w:szCs w:val="24"/>
                <w:lang w:val="en-GB" w:eastAsia="de-DE"/>
              </w:rPr>
            </w:r>
            <w:r w:rsidRPr="005B35AA">
              <w:rPr>
                <w:rFonts w:ascii="Arial" w:eastAsia="Times New Roman" w:hAnsi="Arial" w:cs="Times New Roman"/>
                <w:b/>
                <w:bCs/>
                <w:spacing w:val="-4"/>
                <w:sz w:val="24"/>
                <w:szCs w:val="24"/>
                <w:lang w:val="en-GB" w:eastAsia="de-DE"/>
              </w:rPr>
              <w:fldChar w:fldCharType="separate"/>
            </w:r>
            <w:r w:rsidRPr="005B35AA">
              <w:rPr>
                <w:rFonts w:ascii="Arial" w:eastAsia="Times New Roman" w:hAnsi="Arial" w:cs="Times New Roman"/>
                <w:b/>
                <w:bCs/>
                <w:noProof/>
                <w:spacing w:val="-4"/>
                <w:sz w:val="24"/>
                <w:szCs w:val="24"/>
                <w:lang w:val="en-GB" w:eastAsia="de-DE"/>
              </w:rPr>
              <w:t>1.0</w:t>
            </w:r>
            <w:r w:rsidRPr="005B35AA">
              <w:rPr>
                <w:rFonts w:ascii="Arial" w:eastAsia="Times New Roman" w:hAnsi="Arial" w:cs="Times New Roman"/>
                <w:b/>
                <w:bCs/>
                <w:spacing w:val="-4"/>
                <w:sz w:val="24"/>
                <w:szCs w:val="24"/>
                <w:lang w:val="en-GB" w:eastAsia="de-DE"/>
              </w:rPr>
              <w:fldChar w:fldCharType="end"/>
            </w:r>
            <w:bookmarkEnd w:id="1"/>
          </w:p>
        </w:tc>
      </w:tr>
      <w:tr w:rsidR="00EF2B89" w:rsidRPr="005B35AA" w:rsidTr="00DF0505">
        <w:tc>
          <w:tcPr>
            <w:tcW w:w="3549" w:type="dxa"/>
            <w:tcBorders>
              <w:top w:val="nil"/>
              <w:bottom w:val="nil"/>
              <w:right w:val="single" w:sz="4" w:space="0" w:color="000000"/>
            </w:tcBorders>
            <w:shd w:val="clear" w:color="auto" w:fill="auto"/>
          </w:tcPr>
          <w:p w:rsidR="00EF2B89" w:rsidRPr="005B35AA" w:rsidRDefault="00EF2B89" w:rsidP="00DF0505">
            <w:pPr>
              <w:spacing w:before="80" w:after="80" w:line="240" w:lineRule="auto"/>
              <w:rPr>
                <w:rFonts w:ascii="Arial" w:eastAsia="Times New Roman" w:hAnsi="Arial" w:cs="Times New Roman"/>
                <w:b/>
                <w:bCs/>
                <w:smallCaps/>
                <w:spacing w:val="5"/>
                <w:sz w:val="24"/>
                <w:szCs w:val="24"/>
                <w:lang w:val="en-GB" w:eastAsia="de-DE"/>
              </w:rPr>
            </w:pPr>
            <w:r w:rsidRPr="005B35AA">
              <w:rPr>
                <w:rFonts w:ascii="Arial" w:eastAsia="Times New Roman" w:hAnsi="Arial" w:cs="Times New Roman"/>
                <w:b/>
                <w:bCs/>
                <w:spacing w:val="-4"/>
                <w:sz w:val="24"/>
                <w:szCs w:val="24"/>
                <w:lang w:val="en-GB" w:eastAsia="de-DE"/>
              </w:rPr>
              <w:t xml:space="preserve">Date:  </w:t>
            </w:r>
          </w:p>
        </w:tc>
        <w:tc>
          <w:tcPr>
            <w:tcW w:w="5908" w:type="dxa"/>
            <w:tcBorders>
              <w:left w:val="single" w:sz="4" w:space="0" w:color="000000"/>
            </w:tcBorders>
            <w:shd w:val="clear" w:color="auto" w:fill="auto"/>
          </w:tcPr>
          <w:p w:rsidR="00EF2B89" w:rsidRPr="005B35AA" w:rsidRDefault="00DA24DF" w:rsidP="00DF0505">
            <w:pPr>
              <w:spacing w:before="80" w:after="80" w:line="240" w:lineRule="auto"/>
              <w:rPr>
                <w:rFonts w:ascii="Arial" w:eastAsia="Times New Roman" w:hAnsi="Arial" w:cs="Times New Roman"/>
                <w:b/>
                <w:bCs/>
                <w:smallCaps/>
                <w:spacing w:val="5"/>
                <w:sz w:val="24"/>
                <w:szCs w:val="24"/>
                <w:lang w:val="en-GB" w:eastAsia="de-DE"/>
              </w:rPr>
            </w:pPr>
            <w:r>
              <w:rPr>
                <w:rFonts w:ascii="Arial" w:eastAsia="Times New Roman" w:hAnsi="Arial" w:cs="Times New Roman"/>
                <w:b/>
                <w:bCs/>
                <w:spacing w:val="-4"/>
                <w:sz w:val="24"/>
                <w:szCs w:val="24"/>
                <w:lang w:val="en-GB" w:eastAsia="de-DE"/>
              </w:rPr>
              <w:fldChar w:fldCharType="begin">
                <w:ffData>
                  <w:name w:val="Text1"/>
                  <w:enabled/>
                  <w:calcOnExit w:val="0"/>
                  <w:textInput>
                    <w:default w:val="03-June-2016"/>
                  </w:textInput>
                </w:ffData>
              </w:fldChar>
            </w:r>
            <w:bookmarkStart w:id="2" w:name="Text1"/>
            <w:r>
              <w:rPr>
                <w:rFonts w:ascii="Arial" w:eastAsia="Times New Roman" w:hAnsi="Arial" w:cs="Times New Roman"/>
                <w:b/>
                <w:bCs/>
                <w:spacing w:val="-4"/>
                <w:sz w:val="24"/>
                <w:szCs w:val="24"/>
                <w:lang w:val="en-GB" w:eastAsia="de-DE"/>
              </w:rPr>
              <w:instrText xml:space="preserve"> FORMTEXT </w:instrText>
            </w:r>
            <w:r>
              <w:rPr>
                <w:rFonts w:ascii="Arial" w:eastAsia="Times New Roman" w:hAnsi="Arial" w:cs="Times New Roman"/>
                <w:b/>
                <w:bCs/>
                <w:spacing w:val="-4"/>
                <w:sz w:val="24"/>
                <w:szCs w:val="24"/>
                <w:lang w:val="en-GB" w:eastAsia="de-DE"/>
              </w:rPr>
            </w:r>
            <w:r>
              <w:rPr>
                <w:rFonts w:ascii="Arial" w:eastAsia="Times New Roman" w:hAnsi="Arial" w:cs="Times New Roman"/>
                <w:b/>
                <w:bCs/>
                <w:spacing w:val="-4"/>
                <w:sz w:val="24"/>
                <w:szCs w:val="24"/>
                <w:lang w:val="en-GB" w:eastAsia="de-DE"/>
              </w:rPr>
              <w:fldChar w:fldCharType="separate"/>
            </w:r>
            <w:r>
              <w:rPr>
                <w:rFonts w:ascii="Arial" w:eastAsia="Times New Roman" w:hAnsi="Arial" w:cs="Times New Roman"/>
                <w:b/>
                <w:bCs/>
                <w:noProof/>
                <w:spacing w:val="-4"/>
                <w:sz w:val="24"/>
                <w:szCs w:val="24"/>
                <w:lang w:val="en-GB" w:eastAsia="de-DE"/>
              </w:rPr>
              <w:t>03-June-2016</w:t>
            </w:r>
            <w:r>
              <w:rPr>
                <w:rFonts w:ascii="Arial" w:eastAsia="Times New Roman" w:hAnsi="Arial" w:cs="Times New Roman"/>
                <w:b/>
                <w:bCs/>
                <w:spacing w:val="-4"/>
                <w:sz w:val="24"/>
                <w:szCs w:val="24"/>
                <w:lang w:val="en-GB" w:eastAsia="de-DE"/>
              </w:rPr>
              <w:fldChar w:fldCharType="end"/>
            </w:r>
            <w:bookmarkEnd w:id="2"/>
          </w:p>
        </w:tc>
      </w:tr>
      <w:tr w:rsidR="00EF2B89" w:rsidRPr="005B35AA" w:rsidTr="00DF0505">
        <w:tc>
          <w:tcPr>
            <w:tcW w:w="3549" w:type="dxa"/>
            <w:tcBorders>
              <w:top w:val="nil"/>
              <w:bottom w:val="nil"/>
              <w:right w:val="single" w:sz="4" w:space="0" w:color="000000"/>
            </w:tcBorders>
            <w:shd w:val="clear" w:color="auto" w:fill="auto"/>
          </w:tcPr>
          <w:p w:rsidR="00EF2B89" w:rsidRPr="005B35AA" w:rsidRDefault="00EF2B89" w:rsidP="00DF0505">
            <w:pPr>
              <w:spacing w:before="80" w:after="80" w:line="240" w:lineRule="auto"/>
              <w:rPr>
                <w:rFonts w:ascii="Arial" w:eastAsia="Times New Roman" w:hAnsi="Arial" w:cs="Times New Roman"/>
                <w:b/>
                <w:bCs/>
                <w:smallCaps/>
                <w:spacing w:val="5"/>
                <w:sz w:val="24"/>
                <w:szCs w:val="24"/>
                <w:lang w:val="en-GB" w:eastAsia="de-DE"/>
              </w:rPr>
            </w:pPr>
            <w:r w:rsidRPr="005B35AA">
              <w:rPr>
                <w:rFonts w:ascii="Arial" w:eastAsia="Times New Roman" w:hAnsi="Arial" w:cs="Times New Roman"/>
                <w:b/>
                <w:bCs/>
                <w:spacing w:val="-4"/>
                <w:sz w:val="24"/>
                <w:szCs w:val="24"/>
                <w:lang w:val="en-GB" w:eastAsia="de-DE"/>
              </w:rPr>
              <w:t>Document Type:</w:t>
            </w:r>
          </w:p>
        </w:tc>
        <w:tc>
          <w:tcPr>
            <w:tcW w:w="5908" w:type="dxa"/>
            <w:tcBorders>
              <w:left w:val="single" w:sz="4" w:space="0" w:color="000000"/>
            </w:tcBorders>
            <w:shd w:val="clear" w:color="auto" w:fill="auto"/>
          </w:tcPr>
          <w:p w:rsidR="00EF2B89" w:rsidRPr="005B35AA" w:rsidRDefault="00DA24DF" w:rsidP="00DF0505">
            <w:pPr>
              <w:spacing w:before="80" w:after="80" w:line="240" w:lineRule="auto"/>
              <w:rPr>
                <w:rFonts w:ascii="Arial" w:eastAsia="Times New Roman" w:hAnsi="Arial" w:cs="Times New Roman"/>
                <w:b/>
                <w:bCs/>
                <w:smallCaps/>
                <w:spacing w:val="5"/>
                <w:sz w:val="24"/>
                <w:szCs w:val="24"/>
                <w:lang w:val="en-GB" w:eastAsia="de-DE"/>
              </w:rPr>
            </w:pPr>
            <w:r>
              <w:rPr>
                <w:rFonts w:ascii="Arial" w:eastAsia="Times New Roman" w:hAnsi="Arial" w:cs="Times New Roman"/>
                <w:b/>
                <w:bCs/>
                <w:spacing w:val="-4"/>
                <w:sz w:val="24"/>
                <w:szCs w:val="24"/>
                <w:lang w:val="en-GB" w:eastAsia="de-DE"/>
              </w:rPr>
              <w:fldChar w:fldCharType="begin">
                <w:ffData>
                  <w:name w:val=""/>
                  <w:enabled/>
                  <w:calcOnExit w:val="0"/>
                  <w:ddList>
                    <w:listEntry w:val="Final Deliverable (approved)"/>
                    <w:listEntry w:val="Final Draft Deliverable (for approval)"/>
                    <w:listEntry w:val="Working Document"/>
                    <w:listEntry w:val="Draft Deliverable"/>
                  </w:ddList>
                </w:ffData>
              </w:fldChar>
            </w:r>
            <w:r>
              <w:rPr>
                <w:rFonts w:ascii="Arial" w:eastAsia="Times New Roman" w:hAnsi="Arial" w:cs="Times New Roman"/>
                <w:b/>
                <w:bCs/>
                <w:spacing w:val="-4"/>
                <w:sz w:val="24"/>
                <w:szCs w:val="24"/>
                <w:lang w:val="en-GB" w:eastAsia="de-DE"/>
              </w:rPr>
              <w:instrText xml:space="preserve"> FORMDROPDOWN </w:instrText>
            </w:r>
            <w:r>
              <w:rPr>
                <w:rFonts w:ascii="Arial" w:eastAsia="Times New Roman" w:hAnsi="Arial" w:cs="Times New Roman"/>
                <w:b/>
                <w:bCs/>
                <w:spacing w:val="-4"/>
                <w:sz w:val="24"/>
                <w:szCs w:val="24"/>
                <w:lang w:val="en-GB" w:eastAsia="de-DE"/>
              </w:rPr>
            </w:r>
            <w:r>
              <w:rPr>
                <w:rFonts w:ascii="Arial" w:eastAsia="Times New Roman" w:hAnsi="Arial" w:cs="Times New Roman"/>
                <w:b/>
                <w:bCs/>
                <w:spacing w:val="-4"/>
                <w:sz w:val="24"/>
                <w:szCs w:val="24"/>
                <w:lang w:val="en-GB" w:eastAsia="de-DE"/>
              </w:rPr>
              <w:fldChar w:fldCharType="end"/>
            </w:r>
          </w:p>
        </w:tc>
      </w:tr>
      <w:tr w:rsidR="00EF2B89" w:rsidRPr="005B35AA" w:rsidTr="00DF0505">
        <w:tc>
          <w:tcPr>
            <w:tcW w:w="3549" w:type="dxa"/>
            <w:tcBorders>
              <w:top w:val="nil"/>
              <w:bottom w:val="nil"/>
              <w:right w:val="single" w:sz="4" w:space="0" w:color="000000"/>
            </w:tcBorders>
            <w:shd w:val="clear" w:color="auto" w:fill="auto"/>
          </w:tcPr>
          <w:p w:rsidR="00EF2B89" w:rsidRPr="005B35AA" w:rsidRDefault="00EF2B89" w:rsidP="00DF0505">
            <w:pPr>
              <w:spacing w:before="80" w:after="80" w:line="240" w:lineRule="auto"/>
              <w:rPr>
                <w:rFonts w:ascii="Arial" w:eastAsia="Times New Roman" w:hAnsi="Arial" w:cs="Times New Roman"/>
                <w:b/>
                <w:bCs/>
                <w:smallCaps/>
                <w:spacing w:val="5"/>
                <w:sz w:val="24"/>
                <w:szCs w:val="24"/>
                <w:lang w:val="en-GB" w:eastAsia="de-DE"/>
              </w:rPr>
            </w:pPr>
            <w:r w:rsidRPr="005B35AA">
              <w:rPr>
                <w:rFonts w:ascii="Arial" w:eastAsia="Times New Roman" w:hAnsi="Arial" w:cs="Times New Roman"/>
                <w:b/>
                <w:bCs/>
                <w:spacing w:val="-4"/>
                <w:sz w:val="24"/>
                <w:szCs w:val="24"/>
                <w:lang w:val="en-GB" w:eastAsia="de-DE"/>
              </w:rPr>
              <w:t>Confidentiality Class:</w:t>
            </w:r>
          </w:p>
        </w:tc>
        <w:tc>
          <w:tcPr>
            <w:tcW w:w="5908" w:type="dxa"/>
            <w:tcBorders>
              <w:left w:val="single" w:sz="4" w:space="0" w:color="000000"/>
            </w:tcBorders>
            <w:shd w:val="clear" w:color="auto" w:fill="auto"/>
          </w:tcPr>
          <w:p w:rsidR="00EF2B89" w:rsidRPr="005B35AA" w:rsidRDefault="00DA24DF" w:rsidP="00DF0505">
            <w:pPr>
              <w:spacing w:before="80" w:after="80" w:line="240" w:lineRule="auto"/>
              <w:rPr>
                <w:rFonts w:ascii="Arial" w:eastAsia="Times New Roman" w:hAnsi="Arial" w:cs="Times New Roman"/>
                <w:b/>
                <w:bCs/>
                <w:smallCaps/>
                <w:spacing w:val="5"/>
                <w:sz w:val="24"/>
                <w:szCs w:val="24"/>
                <w:lang w:val="en-GB" w:eastAsia="de-DE"/>
              </w:rPr>
            </w:pPr>
            <w:r>
              <w:rPr>
                <w:rFonts w:ascii="Arial" w:eastAsia="Times New Roman" w:hAnsi="Arial" w:cs="Times New Roman"/>
                <w:b/>
                <w:bCs/>
                <w:spacing w:val="-4"/>
                <w:sz w:val="24"/>
                <w:szCs w:val="24"/>
                <w:lang w:val="en-GB" w:eastAsia="de-DE"/>
              </w:rPr>
              <w:fldChar w:fldCharType="begin">
                <w:ffData>
                  <w:name w:val=""/>
                  <w:enabled/>
                  <w:calcOnExit w:val="0"/>
                  <w:ddList>
                    <w:listEntry w:val="P - Public"/>
                    <w:listEntry w:val="CN - NGMN Confidential"/>
                    <w:listEntry w:val="CL - NGMN Confidential / Limited Dissem."/>
                    <w:listEntry w:val="CR - Confidential / Restricted"/>
                  </w:ddList>
                </w:ffData>
              </w:fldChar>
            </w:r>
            <w:r>
              <w:rPr>
                <w:rFonts w:ascii="Arial" w:eastAsia="Times New Roman" w:hAnsi="Arial" w:cs="Times New Roman"/>
                <w:b/>
                <w:bCs/>
                <w:spacing w:val="-4"/>
                <w:sz w:val="24"/>
                <w:szCs w:val="24"/>
                <w:lang w:val="en-GB" w:eastAsia="de-DE"/>
              </w:rPr>
              <w:instrText xml:space="preserve"> FORMDROPDOWN </w:instrText>
            </w:r>
            <w:r>
              <w:rPr>
                <w:rFonts w:ascii="Arial" w:eastAsia="Times New Roman" w:hAnsi="Arial" w:cs="Times New Roman"/>
                <w:b/>
                <w:bCs/>
                <w:spacing w:val="-4"/>
                <w:sz w:val="24"/>
                <w:szCs w:val="24"/>
                <w:lang w:val="en-GB" w:eastAsia="de-DE"/>
              </w:rPr>
            </w:r>
            <w:r>
              <w:rPr>
                <w:rFonts w:ascii="Arial" w:eastAsia="Times New Roman" w:hAnsi="Arial" w:cs="Times New Roman"/>
                <w:b/>
                <w:bCs/>
                <w:spacing w:val="-4"/>
                <w:sz w:val="24"/>
                <w:szCs w:val="24"/>
                <w:lang w:val="en-GB" w:eastAsia="de-DE"/>
              </w:rPr>
              <w:fldChar w:fldCharType="end"/>
            </w:r>
          </w:p>
        </w:tc>
      </w:tr>
      <w:tr w:rsidR="00EF2B89" w:rsidRPr="005B35AA" w:rsidTr="00DF0505">
        <w:tc>
          <w:tcPr>
            <w:tcW w:w="3549" w:type="dxa"/>
            <w:tcBorders>
              <w:top w:val="nil"/>
              <w:bottom w:val="single" w:sz="4" w:space="0" w:color="000000"/>
              <w:right w:val="single" w:sz="4" w:space="0" w:color="000000"/>
            </w:tcBorders>
            <w:shd w:val="clear" w:color="auto" w:fill="auto"/>
          </w:tcPr>
          <w:p w:rsidR="00EF2B89" w:rsidRPr="005B35AA" w:rsidRDefault="00EF2B89" w:rsidP="00DF0505">
            <w:pPr>
              <w:spacing w:before="80" w:after="80" w:line="240" w:lineRule="auto"/>
              <w:rPr>
                <w:rFonts w:ascii="Arial" w:eastAsia="Times New Roman" w:hAnsi="Arial" w:cs="Times New Roman"/>
                <w:b/>
                <w:bCs/>
                <w:smallCaps/>
                <w:spacing w:val="5"/>
                <w:sz w:val="24"/>
                <w:szCs w:val="24"/>
                <w:lang w:val="en-GB" w:eastAsia="de-DE"/>
              </w:rPr>
            </w:pPr>
            <w:r w:rsidRPr="005B35AA">
              <w:rPr>
                <w:rFonts w:ascii="Arial" w:eastAsia="Times New Roman" w:hAnsi="Arial" w:cs="Times New Roman"/>
                <w:b/>
                <w:bCs/>
                <w:color w:val="999999"/>
                <w:spacing w:val="-4"/>
                <w:sz w:val="24"/>
                <w:szCs w:val="24"/>
                <w:lang w:val="en-GB" w:eastAsia="de-DE"/>
              </w:rPr>
              <w:t>Authorised Recipients:</w:t>
            </w:r>
            <w:r w:rsidRPr="005B35AA">
              <w:rPr>
                <w:rFonts w:ascii="Arial" w:eastAsia="Times New Roman" w:hAnsi="Arial" w:cs="Times New Roman"/>
                <w:b/>
                <w:bCs/>
                <w:color w:val="808080"/>
                <w:spacing w:val="-4"/>
                <w:sz w:val="24"/>
                <w:szCs w:val="24"/>
                <w:lang w:val="en-GB" w:eastAsia="de-DE"/>
              </w:rPr>
              <w:br/>
            </w:r>
            <w:r w:rsidRPr="005B35AA">
              <w:rPr>
                <w:rFonts w:ascii="Arial" w:eastAsia="Times New Roman" w:hAnsi="Arial" w:cs="Times New Roman"/>
                <w:color w:val="808080"/>
                <w:spacing w:val="-4"/>
                <w:sz w:val="20"/>
                <w:szCs w:val="20"/>
                <w:lang w:val="en-GB" w:eastAsia="de-DE"/>
              </w:rPr>
              <w:t>(</w:t>
            </w:r>
            <w:r w:rsidRPr="005B35AA">
              <w:rPr>
                <w:rFonts w:ascii="Arial" w:eastAsia="Times New Roman" w:hAnsi="Arial" w:cs="Times New Roman"/>
                <w:color w:val="999999"/>
                <w:spacing w:val="-4"/>
                <w:sz w:val="20"/>
                <w:szCs w:val="20"/>
                <w:lang w:val="en-GB" w:eastAsia="de-DE"/>
              </w:rPr>
              <w:t>for CR documents only)</w:t>
            </w:r>
          </w:p>
        </w:tc>
        <w:tc>
          <w:tcPr>
            <w:tcW w:w="5908" w:type="dxa"/>
            <w:tcBorders>
              <w:left w:val="single" w:sz="4" w:space="0" w:color="000000"/>
            </w:tcBorders>
            <w:shd w:val="clear" w:color="auto" w:fill="auto"/>
          </w:tcPr>
          <w:p w:rsidR="00EF2B89" w:rsidRPr="005B35AA" w:rsidRDefault="00EF2B89" w:rsidP="00DF0505">
            <w:pPr>
              <w:spacing w:before="80" w:after="80" w:line="240" w:lineRule="auto"/>
              <w:rPr>
                <w:rFonts w:ascii="Arial" w:eastAsia="Times New Roman" w:hAnsi="Arial" w:cs="Times New Roman"/>
                <w:b/>
                <w:bCs/>
                <w:smallCaps/>
                <w:spacing w:val="5"/>
                <w:sz w:val="24"/>
                <w:szCs w:val="24"/>
                <w:lang w:val="en-GB" w:eastAsia="de-DE"/>
              </w:rPr>
            </w:pPr>
            <w:r w:rsidRPr="005B35AA">
              <w:rPr>
                <w:rFonts w:ascii="Arial" w:eastAsia="Times New Roman" w:hAnsi="Arial" w:cs="Times New Roman"/>
                <w:b/>
                <w:bCs/>
                <w:spacing w:val="-4"/>
                <w:sz w:val="24"/>
                <w:szCs w:val="24"/>
                <w:lang w:val="en-GB" w:eastAsia="de-DE"/>
              </w:rPr>
              <w:fldChar w:fldCharType="begin">
                <w:ffData>
                  <w:name w:val="Text9"/>
                  <w:enabled/>
                  <w:calcOnExit w:val="0"/>
                  <w:textInput/>
                </w:ffData>
              </w:fldChar>
            </w:r>
            <w:bookmarkStart w:id="3" w:name="Text9"/>
            <w:r w:rsidRPr="005B35AA">
              <w:rPr>
                <w:rFonts w:ascii="Arial" w:eastAsia="Times New Roman" w:hAnsi="Arial" w:cs="Times New Roman"/>
                <w:b/>
                <w:bCs/>
                <w:spacing w:val="-4"/>
                <w:sz w:val="24"/>
                <w:szCs w:val="24"/>
                <w:lang w:val="en-GB" w:eastAsia="de-DE"/>
              </w:rPr>
              <w:instrText xml:space="preserve"> FORMTEXT </w:instrText>
            </w:r>
            <w:r w:rsidRPr="005B35AA">
              <w:rPr>
                <w:rFonts w:ascii="Arial" w:eastAsia="Times New Roman" w:hAnsi="Arial" w:cs="Times New Roman"/>
                <w:b/>
                <w:bCs/>
                <w:spacing w:val="-4"/>
                <w:sz w:val="24"/>
                <w:szCs w:val="24"/>
                <w:lang w:val="en-GB" w:eastAsia="de-DE"/>
              </w:rPr>
            </w:r>
            <w:r w:rsidRPr="005B35AA">
              <w:rPr>
                <w:rFonts w:ascii="Arial" w:eastAsia="Times New Roman" w:hAnsi="Arial" w:cs="Times New Roman"/>
                <w:b/>
                <w:bCs/>
                <w:spacing w:val="-4"/>
                <w:sz w:val="24"/>
                <w:szCs w:val="24"/>
                <w:lang w:val="en-GB" w:eastAsia="de-DE"/>
              </w:rPr>
              <w:fldChar w:fldCharType="separate"/>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spacing w:val="-4"/>
                <w:sz w:val="24"/>
                <w:szCs w:val="24"/>
                <w:lang w:val="en-GB" w:eastAsia="de-DE"/>
              </w:rPr>
              <w:fldChar w:fldCharType="end"/>
            </w:r>
            <w:bookmarkEnd w:id="3"/>
          </w:p>
        </w:tc>
      </w:tr>
    </w:tbl>
    <w:p w:rsidR="00EF2B89" w:rsidRPr="005B35AA" w:rsidRDefault="00EF2B89" w:rsidP="00EF2B89">
      <w:pPr>
        <w:spacing w:after="0" w:line="250" w:lineRule="atLeast"/>
        <w:rPr>
          <w:rFonts w:ascii="Arial" w:eastAsia="Times New Roman" w:hAnsi="Arial" w:cs="Times New Roman"/>
          <w:b/>
          <w:bCs/>
          <w:smallCaps/>
          <w:spacing w:val="5"/>
          <w:sz w:val="28"/>
          <w:szCs w:val="28"/>
          <w:lang w:val="en-GB" w:eastAsia="de-DE"/>
        </w:rPr>
      </w:pPr>
    </w:p>
    <w:p w:rsidR="00EF2B89" w:rsidRPr="005B35AA" w:rsidRDefault="00EF2B89" w:rsidP="00EF2B89">
      <w:pPr>
        <w:spacing w:after="0" w:line="250" w:lineRule="atLeast"/>
        <w:rPr>
          <w:rFonts w:ascii="Arial" w:eastAsia="Times New Roman" w:hAnsi="Arial" w:cs="Times New Roman"/>
          <w:b/>
          <w:bCs/>
          <w:smallCaps/>
          <w:spacing w:val="5"/>
          <w:sz w:val="28"/>
          <w:szCs w:val="28"/>
          <w:lang w:val="en-GB" w:eastAsia="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6"/>
        <w:gridCol w:w="6931"/>
      </w:tblGrid>
      <w:tr w:rsidR="00EF2B89" w:rsidRPr="005B35AA" w:rsidTr="00DF0505">
        <w:tc>
          <w:tcPr>
            <w:tcW w:w="2526" w:type="dxa"/>
          </w:tcPr>
          <w:p w:rsidR="00EF2B89" w:rsidRPr="005B35AA" w:rsidRDefault="00EF2B89" w:rsidP="00DF0505">
            <w:pPr>
              <w:spacing w:before="60" w:after="60" w:line="250" w:lineRule="atLeast"/>
              <w:rPr>
                <w:rFonts w:ascii="Arial" w:eastAsia="Times New Roman" w:hAnsi="Arial" w:cs="Times New Roman"/>
                <w:b/>
                <w:bCs/>
                <w:spacing w:val="-4"/>
                <w:sz w:val="24"/>
                <w:szCs w:val="24"/>
                <w:lang w:val="en-GB" w:eastAsia="de-DE"/>
              </w:rPr>
            </w:pPr>
            <w:r w:rsidRPr="005B35AA">
              <w:rPr>
                <w:rFonts w:ascii="Arial" w:eastAsia="Times New Roman" w:hAnsi="Arial" w:cs="Times New Roman"/>
                <w:b/>
                <w:bCs/>
                <w:spacing w:val="-4"/>
                <w:sz w:val="24"/>
                <w:szCs w:val="24"/>
                <w:lang w:val="en-GB" w:eastAsia="de-DE"/>
              </w:rPr>
              <w:t>Project:</w:t>
            </w:r>
          </w:p>
        </w:tc>
        <w:tc>
          <w:tcPr>
            <w:tcW w:w="6931" w:type="dxa"/>
          </w:tcPr>
          <w:p w:rsidR="00EF2B89" w:rsidRPr="005B35AA" w:rsidRDefault="00EF2B89" w:rsidP="00DF0505">
            <w:pPr>
              <w:spacing w:before="60" w:after="60" w:line="250" w:lineRule="atLeast"/>
              <w:rPr>
                <w:rFonts w:ascii="Arial" w:eastAsia="Times New Roman" w:hAnsi="Arial" w:cs="Times New Roman"/>
                <w:b/>
                <w:bCs/>
                <w:spacing w:val="-4"/>
                <w:sz w:val="24"/>
                <w:szCs w:val="24"/>
                <w:lang w:val="en-GB" w:eastAsia="de-DE"/>
              </w:rPr>
            </w:pPr>
            <w:r w:rsidRPr="005B35AA">
              <w:rPr>
                <w:rFonts w:ascii="Arial" w:eastAsia="Times New Roman" w:hAnsi="Arial" w:cs="Times New Roman"/>
                <w:b/>
                <w:bCs/>
                <w:spacing w:val="-4"/>
                <w:sz w:val="24"/>
                <w:szCs w:val="24"/>
                <w:lang w:val="en-GB" w:eastAsia="de-DE"/>
              </w:rPr>
              <w:fldChar w:fldCharType="begin">
                <w:ffData>
                  <w:name w:val="Text5"/>
                  <w:enabled/>
                  <w:calcOnExit w:val="0"/>
                  <w:textInput>
                    <w:default w:val="P1 WS#3 BBTS"/>
                  </w:textInput>
                </w:ffData>
              </w:fldChar>
            </w:r>
            <w:bookmarkStart w:id="4" w:name="Text5"/>
            <w:r w:rsidRPr="005B35AA">
              <w:rPr>
                <w:rFonts w:ascii="Arial" w:eastAsia="Times New Roman" w:hAnsi="Arial" w:cs="Times New Roman"/>
                <w:b/>
                <w:bCs/>
                <w:spacing w:val="-4"/>
                <w:sz w:val="24"/>
                <w:szCs w:val="24"/>
                <w:lang w:val="en-GB" w:eastAsia="de-DE"/>
              </w:rPr>
              <w:instrText xml:space="preserve"> FORMTEXT </w:instrText>
            </w:r>
            <w:r w:rsidRPr="005B35AA">
              <w:rPr>
                <w:rFonts w:ascii="Arial" w:eastAsia="Times New Roman" w:hAnsi="Arial" w:cs="Times New Roman"/>
                <w:b/>
                <w:bCs/>
                <w:spacing w:val="-4"/>
                <w:sz w:val="24"/>
                <w:szCs w:val="24"/>
                <w:lang w:val="en-GB" w:eastAsia="de-DE"/>
              </w:rPr>
            </w:r>
            <w:r w:rsidRPr="005B35AA">
              <w:rPr>
                <w:rFonts w:ascii="Arial" w:eastAsia="Times New Roman" w:hAnsi="Arial" w:cs="Times New Roman"/>
                <w:b/>
                <w:bCs/>
                <w:spacing w:val="-4"/>
                <w:sz w:val="24"/>
                <w:szCs w:val="24"/>
                <w:lang w:val="en-GB" w:eastAsia="de-DE"/>
              </w:rPr>
              <w:fldChar w:fldCharType="separate"/>
            </w:r>
            <w:r w:rsidRPr="005B35AA">
              <w:rPr>
                <w:rFonts w:ascii="Arial" w:eastAsia="Times New Roman" w:hAnsi="Arial" w:cs="Times New Roman"/>
                <w:b/>
                <w:bCs/>
                <w:noProof/>
                <w:spacing w:val="-4"/>
                <w:sz w:val="24"/>
                <w:szCs w:val="24"/>
                <w:lang w:val="en-GB" w:eastAsia="de-DE"/>
              </w:rPr>
              <w:t>P1 WS#3 BBTS</w:t>
            </w:r>
            <w:r w:rsidRPr="005B35AA">
              <w:rPr>
                <w:rFonts w:ascii="Arial" w:eastAsia="Times New Roman" w:hAnsi="Arial" w:cs="Times New Roman"/>
                <w:b/>
                <w:bCs/>
                <w:spacing w:val="-4"/>
                <w:sz w:val="24"/>
                <w:szCs w:val="24"/>
                <w:lang w:val="en-GB" w:eastAsia="de-DE"/>
              </w:rPr>
              <w:fldChar w:fldCharType="end"/>
            </w:r>
            <w:bookmarkEnd w:id="4"/>
          </w:p>
        </w:tc>
      </w:tr>
      <w:tr w:rsidR="00EF2B89" w:rsidRPr="005B35AA" w:rsidTr="00DF0505">
        <w:tc>
          <w:tcPr>
            <w:tcW w:w="2526" w:type="dxa"/>
          </w:tcPr>
          <w:p w:rsidR="00EF2B89" w:rsidRPr="005B35AA" w:rsidRDefault="00EF2B89" w:rsidP="00DF0505">
            <w:pPr>
              <w:spacing w:before="60" w:after="60" w:line="250" w:lineRule="atLeast"/>
              <w:rPr>
                <w:rFonts w:ascii="Arial" w:eastAsia="Times New Roman" w:hAnsi="Arial" w:cs="Times New Roman"/>
                <w:b/>
                <w:bCs/>
                <w:spacing w:val="-4"/>
                <w:sz w:val="24"/>
                <w:szCs w:val="24"/>
                <w:lang w:val="en-GB" w:eastAsia="de-DE"/>
              </w:rPr>
            </w:pPr>
            <w:r w:rsidRPr="005B35AA">
              <w:rPr>
                <w:rFonts w:ascii="Arial" w:eastAsia="Times New Roman" w:hAnsi="Arial" w:cs="Times New Roman"/>
                <w:b/>
                <w:bCs/>
                <w:spacing w:val="-4"/>
                <w:sz w:val="24"/>
                <w:szCs w:val="24"/>
                <w:lang w:val="en-GB" w:eastAsia="de-DE"/>
              </w:rPr>
              <w:t>Editor / Submitter:</w:t>
            </w:r>
          </w:p>
        </w:tc>
        <w:tc>
          <w:tcPr>
            <w:tcW w:w="6931" w:type="dxa"/>
          </w:tcPr>
          <w:p w:rsidR="00EF2B89" w:rsidRPr="005B35AA" w:rsidRDefault="00EF2B89" w:rsidP="00DF0505">
            <w:pPr>
              <w:spacing w:before="60" w:after="60" w:line="250" w:lineRule="atLeast"/>
              <w:rPr>
                <w:rFonts w:ascii="Arial" w:eastAsia="Times New Roman" w:hAnsi="Arial" w:cs="Times New Roman"/>
                <w:b/>
                <w:bCs/>
                <w:spacing w:val="-4"/>
                <w:sz w:val="24"/>
                <w:szCs w:val="24"/>
                <w:lang w:val="en-GB" w:eastAsia="de-DE"/>
              </w:rPr>
            </w:pPr>
            <w:r w:rsidRPr="005B35AA">
              <w:rPr>
                <w:rFonts w:ascii="Arial" w:eastAsia="Times New Roman" w:hAnsi="Arial" w:cs="Times New Roman"/>
                <w:b/>
                <w:bCs/>
                <w:spacing w:val="-4"/>
                <w:sz w:val="24"/>
                <w:szCs w:val="24"/>
                <w:lang w:val="en-GB" w:eastAsia="de-DE"/>
              </w:rPr>
              <w:fldChar w:fldCharType="begin">
                <w:ffData>
                  <w:name w:val="Text6"/>
                  <w:enabled/>
                  <w:calcOnExit w:val="0"/>
                  <w:textInput/>
                </w:ffData>
              </w:fldChar>
            </w:r>
            <w:bookmarkStart w:id="5" w:name="Text6"/>
            <w:r w:rsidRPr="005B35AA">
              <w:rPr>
                <w:rFonts w:ascii="Arial" w:eastAsia="Times New Roman" w:hAnsi="Arial" w:cs="Times New Roman"/>
                <w:b/>
                <w:bCs/>
                <w:spacing w:val="-4"/>
                <w:sz w:val="24"/>
                <w:szCs w:val="24"/>
                <w:lang w:val="en-GB" w:eastAsia="de-DE"/>
              </w:rPr>
              <w:instrText xml:space="preserve"> FORMTEXT </w:instrText>
            </w:r>
            <w:r w:rsidRPr="005B35AA">
              <w:rPr>
                <w:rFonts w:ascii="Arial" w:eastAsia="Times New Roman" w:hAnsi="Arial" w:cs="Times New Roman"/>
                <w:b/>
                <w:bCs/>
                <w:spacing w:val="-4"/>
                <w:sz w:val="24"/>
                <w:szCs w:val="24"/>
                <w:lang w:val="en-GB" w:eastAsia="de-DE"/>
              </w:rPr>
            </w:r>
            <w:r w:rsidRPr="005B35AA">
              <w:rPr>
                <w:rFonts w:ascii="Arial" w:eastAsia="Times New Roman" w:hAnsi="Arial" w:cs="Times New Roman"/>
                <w:b/>
                <w:bCs/>
                <w:spacing w:val="-4"/>
                <w:sz w:val="24"/>
                <w:szCs w:val="24"/>
                <w:lang w:val="en-GB" w:eastAsia="de-DE"/>
              </w:rPr>
              <w:fldChar w:fldCharType="separate"/>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spacing w:val="-4"/>
                <w:sz w:val="24"/>
                <w:szCs w:val="24"/>
                <w:lang w:val="en-GB" w:eastAsia="de-DE"/>
              </w:rPr>
              <w:fldChar w:fldCharType="end"/>
            </w:r>
            <w:bookmarkEnd w:id="5"/>
          </w:p>
        </w:tc>
      </w:tr>
      <w:tr w:rsidR="00EF2B89" w:rsidRPr="005B35AA" w:rsidTr="00DF0505">
        <w:tc>
          <w:tcPr>
            <w:tcW w:w="2526" w:type="dxa"/>
          </w:tcPr>
          <w:p w:rsidR="00EF2B89" w:rsidRPr="005B35AA" w:rsidRDefault="00EF2B89" w:rsidP="00DF0505">
            <w:pPr>
              <w:spacing w:before="60" w:after="60" w:line="250" w:lineRule="atLeast"/>
              <w:rPr>
                <w:rFonts w:ascii="Arial" w:eastAsia="Times New Roman" w:hAnsi="Arial" w:cs="Times New Roman"/>
                <w:b/>
                <w:bCs/>
                <w:spacing w:val="-4"/>
                <w:sz w:val="24"/>
                <w:szCs w:val="24"/>
                <w:lang w:val="en-GB" w:eastAsia="de-DE"/>
              </w:rPr>
            </w:pPr>
            <w:r w:rsidRPr="005B35AA">
              <w:rPr>
                <w:rFonts w:ascii="Arial" w:eastAsia="Times New Roman" w:hAnsi="Arial" w:cs="Times New Roman"/>
                <w:b/>
                <w:bCs/>
                <w:spacing w:val="-4"/>
                <w:sz w:val="24"/>
                <w:szCs w:val="24"/>
                <w:lang w:val="en-GB" w:eastAsia="de-DE"/>
              </w:rPr>
              <w:t>Contributors:</w:t>
            </w:r>
          </w:p>
        </w:tc>
        <w:tc>
          <w:tcPr>
            <w:tcW w:w="6931" w:type="dxa"/>
          </w:tcPr>
          <w:p w:rsidR="00EF2B89" w:rsidRPr="005B35AA" w:rsidRDefault="00EF2B89" w:rsidP="00DF0505">
            <w:pPr>
              <w:spacing w:before="60" w:after="60" w:line="250" w:lineRule="atLeast"/>
              <w:rPr>
                <w:rFonts w:ascii="Arial" w:eastAsia="Times New Roman" w:hAnsi="Arial" w:cs="Times New Roman"/>
                <w:b/>
                <w:bCs/>
                <w:spacing w:val="-4"/>
                <w:sz w:val="24"/>
                <w:szCs w:val="24"/>
                <w:lang w:val="en-GB" w:eastAsia="de-DE"/>
              </w:rPr>
            </w:pPr>
            <w:r w:rsidRPr="005B35AA">
              <w:rPr>
                <w:rFonts w:ascii="Arial" w:eastAsia="Times New Roman" w:hAnsi="Arial" w:cs="Times New Roman"/>
                <w:b/>
                <w:bCs/>
                <w:spacing w:val="-4"/>
                <w:sz w:val="24"/>
                <w:szCs w:val="24"/>
                <w:lang w:val="en-GB" w:eastAsia="de-DE"/>
              </w:rPr>
              <w:fldChar w:fldCharType="begin">
                <w:ffData>
                  <w:name w:val="Text7"/>
                  <w:enabled/>
                  <w:calcOnExit w:val="0"/>
                  <w:textInput/>
                </w:ffData>
              </w:fldChar>
            </w:r>
            <w:bookmarkStart w:id="6" w:name="Text7"/>
            <w:r w:rsidRPr="005B35AA">
              <w:rPr>
                <w:rFonts w:ascii="Arial" w:eastAsia="Times New Roman" w:hAnsi="Arial" w:cs="Times New Roman"/>
                <w:b/>
                <w:bCs/>
                <w:spacing w:val="-4"/>
                <w:sz w:val="24"/>
                <w:szCs w:val="24"/>
                <w:lang w:val="en-GB" w:eastAsia="de-DE"/>
              </w:rPr>
              <w:instrText xml:space="preserve"> FORMTEXT </w:instrText>
            </w:r>
            <w:r w:rsidRPr="005B35AA">
              <w:rPr>
                <w:rFonts w:ascii="Arial" w:eastAsia="Times New Roman" w:hAnsi="Arial" w:cs="Times New Roman"/>
                <w:b/>
                <w:bCs/>
                <w:spacing w:val="-4"/>
                <w:sz w:val="24"/>
                <w:szCs w:val="24"/>
                <w:lang w:val="en-GB" w:eastAsia="de-DE"/>
              </w:rPr>
            </w:r>
            <w:r w:rsidRPr="005B35AA">
              <w:rPr>
                <w:rFonts w:ascii="Arial" w:eastAsia="Times New Roman" w:hAnsi="Arial" w:cs="Times New Roman"/>
                <w:b/>
                <w:bCs/>
                <w:spacing w:val="-4"/>
                <w:sz w:val="24"/>
                <w:szCs w:val="24"/>
                <w:lang w:val="en-GB" w:eastAsia="de-DE"/>
              </w:rPr>
              <w:fldChar w:fldCharType="separate"/>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noProof/>
                <w:spacing w:val="-4"/>
                <w:sz w:val="24"/>
                <w:szCs w:val="24"/>
                <w:lang w:val="en-GB" w:eastAsia="de-DE"/>
              </w:rPr>
              <w:t> </w:t>
            </w:r>
            <w:r w:rsidRPr="005B35AA">
              <w:rPr>
                <w:rFonts w:ascii="Arial" w:eastAsia="Times New Roman" w:hAnsi="Arial" w:cs="Times New Roman"/>
                <w:b/>
                <w:bCs/>
                <w:spacing w:val="-4"/>
                <w:sz w:val="24"/>
                <w:szCs w:val="24"/>
                <w:lang w:val="en-GB" w:eastAsia="de-DE"/>
              </w:rPr>
              <w:fldChar w:fldCharType="end"/>
            </w:r>
            <w:bookmarkEnd w:id="6"/>
          </w:p>
        </w:tc>
      </w:tr>
      <w:tr w:rsidR="00EF2B89" w:rsidRPr="005B35AA" w:rsidTr="00DF0505">
        <w:tc>
          <w:tcPr>
            <w:tcW w:w="2526" w:type="dxa"/>
          </w:tcPr>
          <w:p w:rsidR="00EF2B89" w:rsidRPr="005B35AA" w:rsidRDefault="00EF2B89" w:rsidP="00DF0505">
            <w:pPr>
              <w:spacing w:before="60" w:after="60" w:line="250" w:lineRule="atLeast"/>
              <w:rPr>
                <w:rFonts w:ascii="Arial" w:eastAsia="Times New Roman" w:hAnsi="Arial" w:cs="Times New Roman"/>
                <w:b/>
                <w:bCs/>
                <w:spacing w:val="-4"/>
                <w:sz w:val="24"/>
                <w:szCs w:val="24"/>
                <w:lang w:val="en-GB" w:eastAsia="de-DE"/>
              </w:rPr>
            </w:pPr>
            <w:r w:rsidRPr="005B35AA">
              <w:rPr>
                <w:rFonts w:ascii="Arial" w:eastAsia="Times New Roman" w:hAnsi="Arial" w:cs="Times New Roman"/>
                <w:b/>
                <w:bCs/>
                <w:spacing w:val="-4"/>
                <w:sz w:val="24"/>
                <w:szCs w:val="24"/>
                <w:lang w:val="en-GB" w:eastAsia="de-DE"/>
              </w:rPr>
              <w:t>Approved by / Date:</w:t>
            </w:r>
          </w:p>
        </w:tc>
        <w:bookmarkStart w:id="7" w:name="_GoBack"/>
        <w:tc>
          <w:tcPr>
            <w:tcW w:w="6931" w:type="dxa"/>
          </w:tcPr>
          <w:p w:rsidR="00EF2B89" w:rsidRPr="005B35AA" w:rsidRDefault="00DA24DF" w:rsidP="00DF0505">
            <w:pPr>
              <w:spacing w:before="60" w:after="60" w:line="250" w:lineRule="atLeast"/>
              <w:rPr>
                <w:rFonts w:ascii="Arial" w:eastAsia="Times New Roman" w:hAnsi="Arial" w:cs="Times New Roman"/>
                <w:b/>
                <w:bCs/>
                <w:spacing w:val="-4"/>
                <w:sz w:val="24"/>
                <w:szCs w:val="24"/>
                <w:lang w:val="en-GB" w:eastAsia="de-DE"/>
              </w:rPr>
            </w:pPr>
            <w:r>
              <w:rPr>
                <w:rFonts w:ascii="Arial" w:eastAsia="Times New Roman" w:hAnsi="Arial" w:cs="Times New Roman"/>
                <w:b/>
                <w:bCs/>
                <w:spacing w:val="-4"/>
                <w:sz w:val="24"/>
                <w:szCs w:val="24"/>
                <w:lang w:val="en-GB" w:eastAsia="de-DE"/>
              </w:rPr>
              <w:fldChar w:fldCharType="begin">
                <w:ffData>
                  <w:name w:val="Text8"/>
                  <w:enabled/>
                  <w:calcOnExit w:val="0"/>
                  <w:textInput>
                    <w:default w:val="03-June-2016"/>
                  </w:textInput>
                </w:ffData>
              </w:fldChar>
            </w:r>
            <w:bookmarkStart w:id="8" w:name="Text8"/>
            <w:r>
              <w:rPr>
                <w:rFonts w:ascii="Arial" w:eastAsia="Times New Roman" w:hAnsi="Arial" w:cs="Times New Roman"/>
                <w:b/>
                <w:bCs/>
                <w:spacing w:val="-4"/>
                <w:sz w:val="24"/>
                <w:szCs w:val="24"/>
                <w:lang w:val="en-GB" w:eastAsia="de-DE"/>
              </w:rPr>
              <w:instrText xml:space="preserve"> FORMTEXT </w:instrText>
            </w:r>
            <w:r>
              <w:rPr>
                <w:rFonts w:ascii="Arial" w:eastAsia="Times New Roman" w:hAnsi="Arial" w:cs="Times New Roman"/>
                <w:b/>
                <w:bCs/>
                <w:spacing w:val="-4"/>
                <w:sz w:val="24"/>
                <w:szCs w:val="24"/>
                <w:lang w:val="en-GB" w:eastAsia="de-DE"/>
              </w:rPr>
            </w:r>
            <w:r>
              <w:rPr>
                <w:rFonts w:ascii="Arial" w:eastAsia="Times New Roman" w:hAnsi="Arial" w:cs="Times New Roman"/>
                <w:b/>
                <w:bCs/>
                <w:spacing w:val="-4"/>
                <w:sz w:val="24"/>
                <w:szCs w:val="24"/>
                <w:lang w:val="en-GB" w:eastAsia="de-DE"/>
              </w:rPr>
              <w:fldChar w:fldCharType="separate"/>
            </w:r>
            <w:r>
              <w:rPr>
                <w:rFonts w:ascii="Arial" w:eastAsia="Times New Roman" w:hAnsi="Arial" w:cs="Times New Roman"/>
                <w:b/>
                <w:bCs/>
                <w:noProof/>
                <w:spacing w:val="-4"/>
                <w:sz w:val="24"/>
                <w:szCs w:val="24"/>
                <w:lang w:val="en-GB" w:eastAsia="de-DE"/>
              </w:rPr>
              <w:t>03-June-2016</w:t>
            </w:r>
            <w:r>
              <w:rPr>
                <w:rFonts w:ascii="Arial" w:eastAsia="Times New Roman" w:hAnsi="Arial" w:cs="Times New Roman"/>
                <w:b/>
                <w:bCs/>
                <w:spacing w:val="-4"/>
                <w:sz w:val="24"/>
                <w:szCs w:val="24"/>
                <w:lang w:val="en-GB" w:eastAsia="de-DE"/>
              </w:rPr>
              <w:fldChar w:fldCharType="end"/>
            </w:r>
            <w:bookmarkEnd w:id="8"/>
            <w:bookmarkEnd w:id="7"/>
          </w:p>
        </w:tc>
      </w:tr>
    </w:tbl>
    <w:p w:rsidR="00EF2B89" w:rsidRPr="005B35AA" w:rsidRDefault="00EF2B89" w:rsidP="00EF2B89">
      <w:pPr>
        <w:spacing w:after="0" w:line="250" w:lineRule="atLeast"/>
        <w:rPr>
          <w:rFonts w:ascii="Arial" w:eastAsia="Times New Roman" w:hAnsi="Arial" w:cs="Times New Roman"/>
          <w:smallCaps/>
          <w:spacing w:val="5"/>
          <w:sz w:val="28"/>
          <w:szCs w:val="28"/>
          <w:lang w:val="en-GB" w:eastAsia="de-DE"/>
        </w:rPr>
      </w:pPr>
      <w:r>
        <w:rPr>
          <w:noProof/>
          <w:lang w:val="de-DE" w:eastAsia="de-DE"/>
        </w:rPr>
        <mc:AlternateContent>
          <mc:Choice Requires="wps">
            <w:drawing>
              <wp:anchor distT="0" distB="0" distL="114300" distR="114300" simplePos="0" relativeHeight="251660288" behindDoc="0" locked="0" layoutInCell="1" allowOverlap="1">
                <wp:simplePos x="0" y="0"/>
                <wp:positionH relativeFrom="column">
                  <wp:posOffset>-59055</wp:posOffset>
                </wp:positionH>
                <wp:positionV relativeFrom="margin">
                  <wp:posOffset>4352290</wp:posOffset>
                </wp:positionV>
                <wp:extent cx="6012180" cy="1203325"/>
                <wp:effectExtent l="0" t="0" r="26670" b="15875"/>
                <wp:wrapNone/>
                <wp:docPr id="5"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20332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EF2B89" w:rsidRPr="005B35AA" w:rsidRDefault="00EF2B89" w:rsidP="00EF2B89">
                            <w:pPr>
                              <w:spacing w:after="0" w:line="240" w:lineRule="auto"/>
                              <w:rPr>
                                <w:rFonts w:ascii="Arial" w:hAnsi="Arial" w:cs="Arial"/>
                                <w:i/>
                                <w:iCs/>
                                <w:color w:val="FF0000"/>
                                <w:sz w:val="18"/>
                                <w:szCs w:val="18"/>
                                <w:lang w:val="en-GB" w:eastAsia="en-US" w:bidi="bn-IN"/>
                              </w:rPr>
                            </w:pPr>
                            <w:r w:rsidRPr="005B35AA">
                              <w:rPr>
                                <w:rFonts w:ascii="Arial" w:hAnsi="Arial" w:cs="Arial"/>
                                <w:i/>
                                <w:iCs/>
                                <w:color w:val="FF0000"/>
                                <w:sz w:val="18"/>
                                <w:szCs w:val="18"/>
                                <w:lang w:val="en-GB" w:eastAsia="en-US" w:bidi="bn-IN"/>
                              </w:rPr>
                              <w:t>For all Confidential documents (CN, CL, CR):</w:t>
                            </w:r>
                          </w:p>
                          <w:p w:rsidR="00EF2B89" w:rsidRDefault="00EF2B89" w:rsidP="00EF2B89">
                            <w:pPr>
                              <w:spacing w:after="0" w:line="240" w:lineRule="auto"/>
                              <w:rPr>
                                <w:rFonts w:ascii="Arial" w:hAnsi="Arial" w:cs="Arial"/>
                                <w:sz w:val="18"/>
                                <w:szCs w:val="18"/>
                                <w:lang w:val="en-GB" w:eastAsia="en-US" w:bidi="bn-IN"/>
                              </w:rPr>
                            </w:pPr>
                            <w:r w:rsidRPr="005B35AA">
                              <w:rPr>
                                <w:rFonts w:ascii="Arial" w:hAnsi="Arial" w:cs="Arial"/>
                                <w:sz w:val="18"/>
                                <w:szCs w:val="18"/>
                                <w:lang w:val="en-GB"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EF2B89" w:rsidRPr="005B35AA" w:rsidRDefault="00EF2B89" w:rsidP="00EF2B89">
                            <w:pPr>
                              <w:spacing w:after="0" w:line="240" w:lineRule="auto"/>
                              <w:rPr>
                                <w:rFonts w:ascii="Arial" w:hAnsi="Arial" w:cs="Arial"/>
                                <w:sz w:val="18"/>
                                <w:szCs w:val="18"/>
                                <w:lang w:val="en-GB" w:eastAsia="en-US" w:bidi="bn-IN"/>
                              </w:rPr>
                            </w:pPr>
                          </w:p>
                          <w:p w:rsidR="00EF2B89" w:rsidRPr="005B35AA" w:rsidRDefault="00EF2B89" w:rsidP="00EF2B89">
                            <w:pPr>
                              <w:spacing w:after="0" w:line="240" w:lineRule="auto"/>
                              <w:rPr>
                                <w:rFonts w:ascii="Arial" w:hAnsi="Arial" w:cs="Arial"/>
                                <w:i/>
                                <w:iCs/>
                                <w:color w:val="FF0000"/>
                                <w:sz w:val="18"/>
                                <w:szCs w:val="18"/>
                                <w:lang w:val="en-GB" w:eastAsia="en-GB" w:bidi="bn-IN"/>
                              </w:rPr>
                            </w:pPr>
                            <w:r w:rsidRPr="005B35AA">
                              <w:rPr>
                                <w:rFonts w:ascii="Arial" w:hAnsi="Arial" w:cs="Arial"/>
                                <w:i/>
                                <w:iCs/>
                                <w:color w:val="FF0000"/>
                                <w:sz w:val="18"/>
                                <w:szCs w:val="18"/>
                                <w:lang w:val="en-GB" w:eastAsia="en-GB" w:bidi="bn-IN"/>
                              </w:rPr>
                              <w:t>For Public documents (P):</w:t>
                            </w:r>
                          </w:p>
                          <w:p w:rsidR="00EF2B89" w:rsidRPr="005B35AA" w:rsidRDefault="00EF2B89" w:rsidP="00EF2B89">
                            <w:pPr>
                              <w:spacing w:after="0" w:line="240" w:lineRule="auto"/>
                              <w:rPr>
                                <w:rFonts w:ascii="Arial" w:hAnsi="Arial" w:cs="Arial"/>
                                <w:sz w:val="18"/>
                                <w:szCs w:val="18"/>
                                <w:lang w:val="en-GB" w:eastAsia="en-GB" w:bidi="bn-IN"/>
                              </w:rPr>
                            </w:pPr>
                            <w:r w:rsidRPr="005B35AA">
                              <w:rPr>
                                <w:rFonts w:ascii="Arial" w:hAnsi="Arial" w:cs="Arial"/>
                                <w:sz w:val="18"/>
                                <w:szCs w:val="18"/>
                                <w:lang w:val="en-GB" w:eastAsia="en-GB" w:bidi="bn-IN"/>
                              </w:rPr>
                              <w:t>© 2016 Next Generation Mobile Networks Ltd. All rights reserved. No part of this document may be reproduced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margin-left:-4.65pt;margin-top:342.7pt;width:473.4pt;height:9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" filled="f" fillcolor="silver" strokecolor="gray">
                <v:textbox>
                  <w:txbxContent>
                    <w:p w:rsidR="00EF2B89" w:rsidRPr="005B35AA" w:rsidRDefault="00EF2B89" w:rsidP="00EF2B89">
                      <w:pPr>
                        <w:spacing w:after="0" w:line="240" w:lineRule="auto"/>
                        <w:rPr>
                          <w:rFonts w:ascii="Arial" w:hAnsi="Arial" w:cs="Arial"/>
                          <w:i/>
                          <w:iCs/>
                          <w:color w:val="FF0000"/>
                          <w:sz w:val="18"/>
                          <w:szCs w:val="18"/>
                          <w:lang w:val="en-GB" w:eastAsia="en-US" w:bidi="bn-IN"/>
                        </w:rPr>
                      </w:pPr>
                      <w:r w:rsidRPr="005B35AA">
                        <w:rPr>
                          <w:rFonts w:ascii="Arial" w:hAnsi="Arial" w:cs="Arial"/>
                          <w:i/>
                          <w:iCs/>
                          <w:color w:val="FF0000"/>
                          <w:sz w:val="18"/>
                          <w:szCs w:val="18"/>
                          <w:lang w:val="en-GB" w:eastAsia="en-US" w:bidi="bn-IN"/>
                        </w:rPr>
                        <w:t xml:space="preserve">For all Confidential documents (CN, CL, </w:t>
                      </w:r>
                      <w:proofErr w:type="gramStart"/>
                      <w:r w:rsidRPr="005B35AA">
                        <w:rPr>
                          <w:rFonts w:ascii="Arial" w:hAnsi="Arial" w:cs="Arial"/>
                          <w:i/>
                          <w:iCs/>
                          <w:color w:val="FF0000"/>
                          <w:sz w:val="18"/>
                          <w:szCs w:val="18"/>
                          <w:lang w:val="en-GB" w:eastAsia="en-US" w:bidi="bn-IN"/>
                        </w:rPr>
                        <w:t>CR</w:t>
                      </w:r>
                      <w:proofErr w:type="gramEnd"/>
                      <w:r w:rsidRPr="005B35AA">
                        <w:rPr>
                          <w:rFonts w:ascii="Arial" w:hAnsi="Arial" w:cs="Arial"/>
                          <w:i/>
                          <w:iCs/>
                          <w:color w:val="FF0000"/>
                          <w:sz w:val="18"/>
                          <w:szCs w:val="18"/>
                          <w:lang w:val="en-GB" w:eastAsia="en-US" w:bidi="bn-IN"/>
                        </w:rPr>
                        <w:t>):</w:t>
                      </w:r>
                    </w:p>
                    <w:p w:rsidR="00EF2B89" w:rsidRDefault="00EF2B89" w:rsidP="00EF2B89">
                      <w:pPr>
                        <w:spacing w:after="0" w:line="240" w:lineRule="auto"/>
                        <w:rPr>
                          <w:rFonts w:ascii="Arial" w:hAnsi="Arial" w:cs="Arial"/>
                          <w:sz w:val="18"/>
                          <w:szCs w:val="18"/>
                          <w:lang w:val="en-GB" w:eastAsia="en-US" w:bidi="bn-IN"/>
                        </w:rPr>
                      </w:pPr>
                      <w:r w:rsidRPr="005B35AA">
                        <w:rPr>
                          <w:rFonts w:ascii="Arial" w:hAnsi="Arial" w:cs="Arial"/>
                          <w:sz w:val="18"/>
                          <w:szCs w:val="18"/>
                          <w:lang w:val="en-GB"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EF2B89" w:rsidRPr="005B35AA" w:rsidRDefault="00EF2B89" w:rsidP="00EF2B89">
                      <w:pPr>
                        <w:spacing w:after="0" w:line="240" w:lineRule="auto"/>
                        <w:rPr>
                          <w:rFonts w:ascii="Arial" w:hAnsi="Arial" w:cs="Arial"/>
                          <w:sz w:val="18"/>
                          <w:szCs w:val="18"/>
                          <w:lang w:val="en-GB" w:eastAsia="en-US" w:bidi="bn-IN"/>
                        </w:rPr>
                      </w:pPr>
                    </w:p>
                    <w:p w:rsidR="00EF2B89" w:rsidRPr="005B35AA" w:rsidRDefault="00EF2B89" w:rsidP="00EF2B89">
                      <w:pPr>
                        <w:spacing w:after="0" w:line="240" w:lineRule="auto"/>
                        <w:rPr>
                          <w:rFonts w:ascii="Arial" w:hAnsi="Arial" w:cs="Arial"/>
                          <w:i/>
                          <w:iCs/>
                          <w:color w:val="FF0000"/>
                          <w:sz w:val="18"/>
                          <w:szCs w:val="18"/>
                          <w:lang w:val="en-GB" w:eastAsia="en-GB" w:bidi="bn-IN"/>
                        </w:rPr>
                      </w:pPr>
                      <w:r w:rsidRPr="005B35AA">
                        <w:rPr>
                          <w:rFonts w:ascii="Arial" w:hAnsi="Arial" w:cs="Arial"/>
                          <w:i/>
                          <w:iCs/>
                          <w:color w:val="FF0000"/>
                          <w:sz w:val="18"/>
                          <w:szCs w:val="18"/>
                          <w:lang w:val="en-GB" w:eastAsia="en-GB" w:bidi="bn-IN"/>
                        </w:rPr>
                        <w:t>For Public documents (P):</w:t>
                      </w:r>
                    </w:p>
                    <w:p w:rsidR="00EF2B89" w:rsidRPr="005B35AA" w:rsidRDefault="00EF2B89" w:rsidP="00EF2B89">
                      <w:pPr>
                        <w:spacing w:after="0" w:line="240" w:lineRule="auto"/>
                        <w:rPr>
                          <w:rFonts w:ascii="Arial" w:hAnsi="Arial" w:cs="Arial"/>
                          <w:sz w:val="18"/>
                          <w:szCs w:val="18"/>
                          <w:lang w:val="en-GB" w:eastAsia="en-GB" w:bidi="bn-IN"/>
                        </w:rPr>
                      </w:pPr>
                      <w:r w:rsidRPr="005B35AA">
                        <w:rPr>
                          <w:rFonts w:ascii="Arial" w:hAnsi="Arial" w:cs="Arial"/>
                          <w:sz w:val="18"/>
                          <w:szCs w:val="18"/>
                          <w:lang w:val="en-GB" w:eastAsia="en-GB" w:bidi="bn-IN"/>
                        </w:rPr>
                        <w:t>© 2016 Next Generation Mobile Networks Ltd. All rights reserved. No part of this document may be reproduced or transmitted in any form or by any means without prior written permission from NGMN Ltd.</w:t>
                      </w:r>
                    </w:p>
                  </w:txbxContent>
                </v:textbox>
                <w10:wrap anchory="margin"/>
              </v:shape>
            </w:pict>
          </mc:Fallback>
        </mc:AlternateContent>
      </w:r>
    </w:p>
    <w:p w:rsidR="00EF2B89" w:rsidRPr="005B35AA" w:rsidRDefault="00EF2B89" w:rsidP="00EF2B89">
      <w:pPr>
        <w:spacing w:after="0" w:line="250" w:lineRule="atLeast"/>
        <w:rPr>
          <w:rFonts w:ascii="Arial" w:eastAsia="Times New Roman" w:hAnsi="Arial" w:cs="Times New Roman"/>
          <w:smallCaps/>
          <w:spacing w:val="5"/>
          <w:sz w:val="28"/>
          <w:szCs w:val="28"/>
          <w:lang w:val="en-GB" w:eastAsia="de-DE"/>
        </w:rPr>
      </w:pPr>
    </w:p>
    <w:p w:rsidR="00EF2B89" w:rsidRPr="005B35AA" w:rsidRDefault="00EF2B89" w:rsidP="00EF2B89">
      <w:pPr>
        <w:spacing w:after="0" w:line="250" w:lineRule="atLeast"/>
        <w:rPr>
          <w:rFonts w:ascii="Arial" w:eastAsia="Times New Roman" w:hAnsi="Arial" w:cs="Times New Roman"/>
          <w:smallCaps/>
          <w:spacing w:val="5"/>
          <w:sz w:val="28"/>
          <w:szCs w:val="28"/>
          <w:lang w:val="en-GB" w:eastAsia="de-DE"/>
        </w:rPr>
      </w:pPr>
    </w:p>
    <w:p w:rsidR="00EF2B89" w:rsidRPr="005B35AA" w:rsidRDefault="00EF2B89" w:rsidP="00EF2B89">
      <w:pPr>
        <w:spacing w:after="0" w:line="250" w:lineRule="atLeast"/>
        <w:rPr>
          <w:rFonts w:ascii="Arial" w:eastAsia="Times New Roman" w:hAnsi="Arial" w:cs="Times New Roman"/>
          <w:spacing w:val="-4"/>
          <w:sz w:val="28"/>
          <w:szCs w:val="28"/>
          <w:lang w:val="en-GB" w:eastAsia="de-DE"/>
        </w:rPr>
      </w:pPr>
    </w:p>
    <w:p w:rsidR="00EF2B89" w:rsidRPr="005B35AA" w:rsidRDefault="00EF2B89" w:rsidP="00EF2B89">
      <w:pPr>
        <w:spacing w:after="0" w:line="250" w:lineRule="atLeast"/>
        <w:rPr>
          <w:rFonts w:ascii="Arial" w:eastAsia="Times New Roman" w:hAnsi="Arial" w:cs="Times New Roman"/>
          <w:spacing w:val="-4"/>
          <w:sz w:val="28"/>
          <w:szCs w:val="28"/>
          <w:lang w:val="en-GB" w:eastAsia="de-DE"/>
        </w:rPr>
      </w:pPr>
    </w:p>
    <w:p w:rsidR="00EF2B89" w:rsidRPr="005B35AA" w:rsidRDefault="00EF2B89" w:rsidP="00EF2B89">
      <w:pPr>
        <w:spacing w:after="0" w:line="250" w:lineRule="atLeast"/>
        <w:rPr>
          <w:rFonts w:ascii="Arial" w:eastAsia="Times New Roman" w:hAnsi="Arial" w:cs="Times New Roman"/>
          <w:spacing w:val="-4"/>
          <w:sz w:val="28"/>
          <w:szCs w:val="28"/>
          <w:lang w:val="en-GB" w:eastAsia="de-DE"/>
        </w:rPr>
      </w:pPr>
    </w:p>
    <w:p w:rsidR="00EF2B89" w:rsidRPr="005B35AA" w:rsidRDefault="00EF2B89" w:rsidP="00EF2B89">
      <w:pPr>
        <w:spacing w:after="0" w:line="250" w:lineRule="atLeast"/>
        <w:rPr>
          <w:rFonts w:ascii="Arial" w:eastAsia="Times New Roman" w:hAnsi="Arial" w:cs="Times New Roman"/>
          <w:spacing w:val="-4"/>
          <w:sz w:val="28"/>
          <w:szCs w:val="28"/>
          <w:lang w:val="en-GB" w:eastAsia="de-DE"/>
        </w:rPr>
      </w:pPr>
    </w:p>
    <w:p w:rsidR="00EF2B89" w:rsidRPr="005B35AA" w:rsidRDefault="00EF2B89" w:rsidP="00EF2B89">
      <w:pPr>
        <w:spacing w:after="0" w:line="250" w:lineRule="atLeast"/>
        <w:rPr>
          <w:rFonts w:ascii="Arial" w:eastAsia="Times New Roman" w:hAnsi="Arial" w:cs="Times New Roman"/>
          <w:spacing w:val="-4"/>
          <w:sz w:val="28"/>
          <w:szCs w:val="28"/>
          <w:lang w:val="en-GB" w:eastAsia="de-DE"/>
        </w:rPr>
      </w:pPr>
      <w:r>
        <w:rPr>
          <w:noProof/>
          <w:lang w:val="de-DE" w:eastAsia="de-DE"/>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margin">
                  <wp:posOffset>5658485</wp:posOffset>
                </wp:positionV>
                <wp:extent cx="6012180" cy="1013460"/>
                <wp:effectExtent l="0" t="0" r="26670" b="15240"/>
                <wp:wrapNone/>
                <wp:docPr id="2"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EF2B89" w:rsidRPr="005B35AA" w:rsidRDefault="00EF2B89" w:rsidP="00EF2B89">
                            <w:pPr>
                              <w:spacing w:line="240" w:lineRule="auto"/>
                              <w:rPr>
                                <w:rFonts w:ascii="Arial" w:hAnsi="Arial" w:cs="Arial"/>
                                <w:sz w:val="18"/>
                                <w:szCs w:val="18"/>
                                <w:lang w:eastAsia="en-US" w:bidi="bn-IN"/>
                              </w:rPr>
                            </w:pPr>
                            <w:r w:rsidRPr="005B35AA">
                              <w:rPr>
                                <w:rFonts w:ascii="Arial" w:hAnsi="Arial" w:cs="Arial"/>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027" type="#_x0000_t202" style="position:absolute;margin-left:-5.25pt;margin-top:445.55pt;width:473.4pt;height:7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" filled="f" fillcolor="silver" strokecolor="gray">
                <v:textbox>
                  <w:txbxContent>
                    <w:p w:rsidR="00EF2B89" w:rsidRPr="005B35AA" w:rsidRDefault="00EF2B89" w:rsidP="00EF2B89">
                      <w:pPr>
                        <w:spacing w:line="240" w:lineRule="auto"/>
                        <w:rPr>
                          <w:rFonts w:ascii="Arial" w:hAnsi="Arial" w:cs="Arial"/>
                          <w:sz w:val="18"/>
                          <w:szCs w:val="18"/>
                          <w:lang w:eastAsia="en-US" w:bidi="bn-IN"/>
                        </w:rPr>
                      </w:pPr>
                      <w:r w:rsidRPr="005B35AA">
                        <w:rPr>
                          <w:rFonts w:ascii="Arial" w:hAnsi="Arial" w:cs="Arial"/>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rsidR="00EF2B89" w:rsidRPr="005B35AA" w:rsidRDefault="00EF2B89" w:rsidP="00EF2B89">
      <w:pPr>
        <w:spacing w:after="0" w:line="250" w:lineRule="atLeast"/>
        <w:rPr>
          <w:rFonts w:ascii="Arial" w:eastAsia="Times New Roman" w:hAnsi="Arial" w:cs="Times New Roman"/>
          <w:spacing w:val="-4"/>
          <w:sz w:val="28"/>
          <w:szCs w:val="28"/>
          <w:lang w:val="en-GB" w:eastAsia="de-DE"/>
        </w:rPr>
      </w:pPr>
    </w:p>
    <w:p w:rsidR="00EF2B89" w:rsidRPr="005B35AA" w:rsidRDefault="00EF2B89" w:rsidP="00EF2B89">
      <w:pPr>
        <w:spacing w:after="0" w:line="250" w:lineRule="atLeast"/>
        <w:rPr>
          <w:rFonts w:ascii="Arial" w:eastAsia="Times New Roman" w:hAnsi="Arial" w:cs="Times New Roman"/>
          <w:spacing w:val="-4"/>
          <w:sz w:val="28"/>
          <w:szCs w:val="28"/>
          <w:lang w:val="en-GB" w:eastAsia="de-DE"/>
        </w:rPr>
      </w:pPr>
    </w:p>
    <w:p w:rsidR="00EF2B89" w:rsidRPr="005B35AA" w:rsidRDefault="00EF2B89" w:rsidP="00EF2B89">
      <w:pPr>
        <w:spacing w:after="0" w:line="250" w:lineRule="atLeast"/>
        <w:rPr>
          <w:rFonts w:ascii="Arial" w:eastAsia="Times New Roman" w:hAnsi="Arial" w:cs="Times New Roman"/>
          <w:spacing w:val="-4"/>
          <w:sz w:val="28"/>
          <w:szCs w:val="28"/>
          <w:lang w:val="en-GB" w:eastAsia="de-DE"/>
        </w:rPr>
      </w:pPr>
    </w:p>
    <w:p w:rsidR="00EF2B89" w:rsidRPr="005B35AA" w:rsidRDefault="00EF2B89" w:rsidP="00EF2B89">
      <w:pPr>
        <w:spacing w:after="0" w:line="250" w:lineRule="atLeast"/>
        <w:rPr>
          <w:rFonts w:ascii="Arial" w:eastAsia="Times New Roman" w:hAnsi="Arial" w:cs="Times New Roman"/>
          <w:spacing w:val="-4"/>
          <w:sz w:val="28"/>
          <w:szCs w:val="28"/>
          <w:lang w:val="en-GB" w:eastAsia="de-DE"/>
        </w:rPr>
      </w:pPr>
    </w:p>
    <w:p w:rsidR="00EF2B89" w:rsidRDefault="00EF2B89" w:rsidP="00605334">
      <w:pPr>
        <w:pStyle w:val="berschrift1"/>
        <w:sectPr w:rsidR="00EF2B89" w:rsidSect="00EF2B89">
          <w:headerReference w:type="default" r:id="rId9"/>
          <w:footerReference w:type="default" r:id="rId10"/>
          <w:headerReference w:type="first" r:id="rId11"/>
          <w:footerReference w:type="first" r:id="rId12"/>
          <w:pgSz w:w="12240" w:h="15840"/>
          <w:pgMar w:top="1440" w:right="1440" w:bottom="1440" w:left="1440" w:header="708" w:footer="708" w:gutter="0"/>
          <w:cols w:space="708"/>
          <w:titlePg/>
          <w:docGrid w:linePitch="360"/>
        </w:sectPr>
      </w:pPr>
    </w:p>
    <w:p w:rsidR="00AD25F3" w:rsidRPr="00FF75FD" w:rsidRDefault="00AD25F3" w:rsidP="00605334">
      <w:pPr>
        <w:pStyle w:val="berschrift1"/>
      </w:pPr>
      <w:r w:rsidRPr="00FF75FD">
        <w:lastRenderedPageBreak/>
        <w:t>K</w:t>
      </w:r>
      <w:r w:rsidR="00A710FE" w:rsidRPr="00FF75FD">
        <w:t>ey Performance Indicators</w:t>
      </w:r>
    </w:p>
    <w:p w:rsidR="00ED53E5" w:rsidRPr="00FF75FD" w:rsidRDefault="00ED53E5" w:rsidP="00CE5A11">
      <w:pPr>
        <w:pStyle w:val="Beschriftung"/>
        <w:keepNext/>
        <w:jc w:val="center"/>
        <w:rPr>
          <w:sz w:val="20"/>
          <w:szCs w:val="20"/>
        </w:rPr>
      </w:pPr>
      <w:r w:rsidRPr="00FF75FD">
        <w:rPr>
          <w:sz w:val="20"/>
          <w:szCs w:val="20"/>
        </w:rPr>
        <w:t xml:space="preserve">Table </w:t>
      </w:r>
      <w:r w:rsidR="00B81428" w:rsidRPr="00FF75FD">
        <w:rPr>
          <w:sz w:val="20"/>
          <w:szCs w:val="20"/>
        </w:rPr>
        <w:fldChar w:fldCharType="begin"/>
      </w:r>
      <w:r w:rsidRPr="00FF75FD">
        <w:rPr>
          <w:sz w:val="20"/>
          <w:szCs w:val="20"/>
        </w:rPr>
        <w:instrText xml:space="preserve"> SEQ Table \* ARABIC </w:instrText>
      </w:r>
      <w:r w:rsidR="00B81428" w:rsidRPr="00FF75FD">
        <w:rPr>
          <w:sz w:val="20"/>
          <w:szCs w:val="20"/>
        </w:rPr>
        <w:fldChar w:fldCharType="separate"/>
      </w:r>
      <w:r w:rsidR="00970A92" w:rsidRPr="00FF75FD">
        <w:rPr>
          <w:noProof/>
          <w:sz w:val="20"/>
          <w:szCs w:val="20"/>
        </w:rPr>
        <w:t>1</w:t>
      </w:r>
      <w:r w:rsidR="00B81428" w:rsidRPr="00FF75FD">
        <w:rPr>
          <w:sz w:val="20"/>
          <w:szCs w:val="20"/>
        </w:rPr>
        <w:fldChar w:fldCharType="end"/>
      </w:r>
      <w:r w:rsidRPr="00FF75FD">
        <w:rPr>
          <w:sz w:val="20"/>
          <w:szCs w:val="20"/>
        </w:rPr>
        <w:t xml:space="preserve">: General KPIs and </w:t>
      </w:r>
      <w:r w:rsidR="00706562" w:rsidRPr="00FF75FD">
        <w:rPr>
          <w:sz w:val="20"/>
          <w:szCs w:val="20"/>
        </w:rPr>
        <w:t xml:space="preserve">their </w:t>
      </w:r>
      <w:r w:rsidR="007839DC" w:rsidRPr="00FF75FD">
        <w:rPr>
          <w:sz w:val="20"/>
          <w:szCs w:val="20"/>
        </w:rPr>
        <w:t>high level evaluation approach</w:t>
      </w:r>
    </w:p>
    <w:tbl>
      <w:tblPr>
        <w:tblStyle w:val="HellesRaster-Akzent3"/>
        <w:tblW w:w="14176" w:type="dxa"/>
        <w:tblInd w:w="-601" w:type="dxa"/>
        <w:tblLayout w:type="fixed"/>
        <w:tblLook w:val="04A0" w:firstRow="1" w:lastRow="0" w:firstColumn="1" w:lastColumn="0" w:noHBand="0" w:noVBand="1"/>
      </w:tblPr>
      <w:tblGrid>
        <w:gridCol w:w="1702"/>
        <w:gridCol w:w="4677"/>
        <w:gridCol w:w="1701"/>
        <w:gridCol w:w="1276"/>
        <w:gridCol w:w="4820"/>
      </w:tblGrid>
      <w:tr w:rsidR="00E1779D" w:rsidRPr="00FF75FD" w:rsidTr="00B712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20"/>
                <w:szCs w:val="20"/>
              </w:rPr>
            </w:pPr>
            <w:r w:rsidRPr="00FF75FD">
              <w:rPr>
                <w:sz w:val="20"/>
                <w:szCs w:val="20"/>
              </w:rPr>
              <w:t>KPI</w:t>
            </w:r>
          </w:p>
        </w:tc>
        <w:tc>
          <w:tcPr>
            <w:tcW w:w="4677" w:type="dxa"/>
          </w:tcPr>
          <w:p w:rsidR="00E1779D" w:rsidRPr="00FF75FD" w:rsidRDefault="00E1779D"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Definition</w:t>
            </w:r>
          </w:p>
        </w:tc>
        <w:tc>
          <w:tcPr>
            <w:tcW w:w="1701" w:type="dxa"/>
          </w:tcPr>
          <w:p w:rsidR="00E1779D" w:rsidRPr="00FF75FD" w:rsidRDefault="00E1779D" w:rsidP="00B71254">
            <w:pPr>
              <w:cnfStyle w:val="100000000000" w:firstRow="1" w:lastRow="0" w:firstColumn="0" w:lastColumn="0" w:oddVBand="0" w:evenVBand="0" w:oddHBand="0" w:evenHBand="0" w:firstRowFirstColumn="0" w:firstRowLastColumn="0" w:lastRowFirstColumn="0" w:lastRowLastColumn="0"/>
              <w:rPr>
                <w:sz w:val="20"/>
                <w:szCs w:val="20"/>
                <w:lang w:eastAsia="zh-CN"/>
              </w:rPr>
            </w:pPr>
            <w:r w:rsidRPr="00FF75FD">
              <w:rPr>
                <w:sz w:val="20"/>
                <w:szCs w:val="20"/>
              </w:rPr>
              <w:t>Requirement</w:t>
            </w:r>
            <w:r w:rsidRPr="00FF75FD">
              <w:rPr>
                <w:rFonts w:hint="eastAsia"/>
                <w:sz w:val="20"/>
                <w:szCs w:val="20"/>
                <w:vertAlign w:val="superscript"/>
                <w:lang w:eastAsia="zh-CN"/>
              </w:rPr>
              <w:t>1</w:t>
            </w:r>
          </w:p>
        </w:tc>
        <w:tc>
          <w:tcPr>
            <w:tcW w:w="1276" w:type="dxa"/>
          </w:tcPr>
          <w:p w:rsidR="00E1779D" w:rsidRPr="00FF75FD" w:rsidRDefault="00E1779D"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Evaluation method</w:t>
            </w:r>
          </w:p>
        </w:tc>
        <w:tc>
          <w:tcPr>
            <w:tcW w:w="4820" w:type="dxa"/>
          </w:tcPr>
          <w:p w:rsidR="00E1779D" w:rsidRPr="00FF75FD" w:rsidRDefault="00E1779D"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Remarks</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18"/>
                <w:szCs w:val="18"/>
              </w:rPr>
            </w:pPr>
            <w:r w:rsidRPr="00FF75FD">
              <w:rPr>
                <w:rFonts w:cs="Arial"/>
                <w:b w:val="0"/>
                <w:sz w:val="20"/>
                <w:szCs w:val="20"/>
              </w:rPr>
              <w:t>Bandwidth</w:t>
            </w:r>
          </w:p>
        </w:tc>
        <w:tc>
          <w:tcPr>
            <w:tcW w:w="4677"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rFonts w:cs="Arial"/>
                <w:sz w:val="20"/>
                <w:szCs w:val="20"/>
              </w:rPr>
              <w:t>The highest aggregated total system bandwidth. It may be supported by single or multiple RF carriers.</w:t>
            </w:r>
          </w:p>
        </w:tc>
        <w:tc>
          <w:tcPr>
            <w:tcW w:w="1701" w:type="dxa"/>
          </w:tcPr>
          <w:p w:rsidR="00E1779D" w:rsidRPr="00FF75FD" w:rsidRDefault="00E1779D" w:rsidP="00B71254">
            <w:pPr>
              <w:ind w:left="34"/>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Leave to ITU-R to decide</w:t>
            </w:r>
          </w:p>
        </w:tc>
        <w:tc>
          <w:tcPr>
            <w:tcW w:w="1276"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Inspection</w:t>
            </w:r>
          </w:p>
        </w:tc>
        <w:tc>
          <w:tcPr>
            <w:tcW w:w="4820"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p>
        </w:tc>
      </w:tr>
      <w:tr w:rsidR="00E1779D"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18"/>
                <w:szCs w:val="18"/>
              </w:rPr>
            </w:pPr>
            <w:r w:rsidRPr="00FF75FD">
              <w:rPr>
                <w:rFonts w:cs="Arial"/>
                <w:b w:val="0"/>
                <w:sz w:val="20"/>
                <w:szCs w:val="20"/>
              </w:rPr>
              <w:t>Bandwidth scalability</w:t>
            </w:r>
          </w:p>
        </w:tc>
        <w:tc>
          <w:tcPr>
            <w:tcW w:w="4677"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rFonts w:cs="Arial"/>
                <w:sz w:val="20"/>
                <w:szCs w:val="20"/>
              </w:rPr>
              <w:t xml:space="preserve">The ability of the access technology to operate with different bandwidth allocations. </w:t>
            </w:r>
          </w:p>
        </w:tc>
        <w:tc>
          <w:tcPr>
            <w:tcW w:w="1701"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Not worse than IMT-Advanced</w:t>
            </w:r>
          </w:p>
        </w:tc>
        <w:tc>
          <w:tcPr>
            <w:tcW w:w="1276"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Inspection</w:t>
            </w:r>
          </w:p>
        </w:tc>
        <w:tc>
          <w:tcPr>
            <w:tcW w:w="4820"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rFonts w:cs="Arial"/>
                <w:sz w:val="20"/>
                <w:szCs w:val="20"/>
              </w:rPr>
            </w:pPr>
            <w:r w:rsidRPr="00FF75FD">
              <w:rPr>
                <w:rFonts w:cs="Arial"/>
                <w:sz w:val="20"/>
                <w:szCs w:val="20"/>
              </w:rPr>
              <w:t>This bandwidth may be supported by single or multiple RF carriers.</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rFonts w:cs="Arial"/>
                <w:sz w:val="20"/>
                <w:szCs w:val="20"/>
              </w:rPr>
              <w:t>Bandwidth scalability’s relevance includes providing higher occupancy for the various spectrum block sizes encountered internationally, including those not multiples of 5/10/20 MHz.</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18"/>
                <w:szCs w:val="18"/>
              </w:rPr>
            </w:pPr>
            <w:r w:rsidRPr="00FF75FD">
              <w:rPr>
                <w:rFonts w:cs="Arial"/>
                <w:b w:val="0"/>
                <w:sz w:val="20"/>
                <w:szCs w:val="20"/>
                <w:lang w:eastAsia="zh-CN"/>
              </w:rPr>
              <w:t>Control plane latency</w:t>
            </w:r>
          </w:p>
        </w:tc>
        <w:tc>
          <w:tcPr>
            <w:tcW w:w="4677" w:type="dxa"/>
          </w:tcPr>
          <w:p w:rsidR="00E1779D" w:rsidRPr="00FF75FD" w:rsidRDefault="00E1779D" w:rsidP="00B71254">
            <w:pPr>
              <w:spacing w:line="276" w:lineRule="auto"/>
              <w:cnfStyle w:val="000000100000" w:firstRow="0" w:lastRow="0" w:firstColumn="0" w:lastColumn="0" w:oddVBand="0" w:evenVBand="0" w:oddHBand="1" w:evenHBand="0" w:firstRowFirstColumn="0" w:firstRowLastColumn="0" w:lastRowFirstColumn="0" w:lastRowLastColumn="0"/>
              <w:rPr>
                <w:rFonts w:cs="Arial"/>
                <w:b/>
                <w:sz w:val="20"/>
                <w:szCs w:val="20"/>
                <w:u w:val="single"/>
              </w:rPr>
            </w:pPr>
            <w:r w:rsidRPr="00FF75FD">
              <w:rPr>
                <w:rFonts w:cs="Arial"/>
                <w:sz w:val="20"/>
                <w:szCs w:val="20"/>
                <w:u w:val="single"/>
              </w:rPr>
              <w:t>1. Latency from most  battery efficient state (e.g., IDLE) to continuous transfer of large data volume</w:t>
            </w:r>
          </w:p>
          <w:p w:rsidR="00E1779D" w:rsidRPr="00FF75FD" w:rsidRDefault="00E1779D" w:rsidP="00B7125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rFonts w:cs="Arial"/>
                <w:sz w:val="20"/>
                <w:szCs w:val="20"/>
              </w:rPr>
              <w:t>The time it takes for a mobile device in its most “battery efficient” state (e.g. RRC Idle) to start transmission of a large volume of Mobile Originated application layer data over the radio interface, from the time when data arrives at its radio protocol layer 2/3 SDU ingress point.</w:t>
            </w:r>
          </w:p>
        </w:tc>
        <w:tc>
          <w:tcPr>
            <w:tcW w:w="1701"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[10 ms]</w:t>
            </w:r>
          </w:p>
        </w:tc>
        <w:tc>
          <w:tcPr>
            <w:tcW w:w="1276"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Analytical</w:t>
            </w:r>
          </w:p>
        </w:tc>
        <w:tc>
          <w:tcPr>
            <w:tcW w:w="4820"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FF75FD">
              <w:rPr>
                <w:rFonts w:cs="Arial"/>
                <w:sz w:val="20"/>
                <w:szCs w:val="20"/>
              </w:rPr>
              <w:t xml:space="preserve">Notes: The states for 5G are not yet defined, but this should typically be a state transition time between the idle state and a connected state that supports efficient transfer of large data volumes.  </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p>
        </w:tc>
      </w:tr>
      <w:tr w:rsidR="00E1779D"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18"/>
                <w:szCs w:val="18"/>
              </w:rPr>
            </w:pPr>
            <w:r w:rsidRPr="00FF75FD">
              <w:rPr>
                <w:rFonts w:cs="Arial"/>
                <w:b w:val="0"/>
                <w:sz w:val="20"/>
                <w:szCs w:val="20"/>
                <w:lang w:eastAsia="zh-CN"/>
              </w:rPr>
              <w:t>User plane latency</w:t>
            </w:r>
          </w:p>
        </w:tc>
        <w:tc>
          <w:tcPr>
            <w:tcW w:w="4677" w:type="dxa"/>
          </w:tcPr>
          <w:p w:rsidR="00E1779D" w:rsidRPr="00FF75FD" w:rsidRDefault="00E1779D" w:rsidP="00B71254">
            <w:pPr>
              <w:spacing w:line="276" w:lineRule="auto"/>
              <w:cnfStyle w:val="000000010000" w:firstRow="0" w:lastRow="0" w:firstColumn="0" w:lastColumn="0" w:oddVBand="0" w:evenVBand="0" w:oddHBand="0" w:evenHBand="1" w:firstRowFirstColumn="0" w:firstRowLastColumn="0" w:lastRowFirstColumn="0" w:lastRowLastColumn="0"/>
              <w:rPr>
                <w:sz w:val="18"/>
                <w:szCs w:val="18"/>
                <w:lang w:val="en-GB"/>
              </w:rPr>
            </w:pPr>
            <w:r w:rsidRPr="00FF75FD">
              <w:rPr>
                <w:rFonts w:cs="Arial"/>
                <w:sz w:val="20"/>
                <w:szCs w:val="20"/>
              </w:rPr>
              <w:t xml:space="preserve">The time it takes to successfully deliver an application layer packet/message from the radio protocol layer 2/3 SDU ingress point to the radio protocol layer 2/3 </w:t>
            </w:r>
            <w:r w:rsidRPr="00FF75FD">
              <w:rPr>
                <w:rFonts w:cs="Arial"/>
                <w:sz w:val="20"/>
                <w:szCs w:val="20"/>
              </w:rPr>
              <w:lastRenderedPageBreak/>
              <w:t>SDU egress point via the radio interface in both uplink and downlink directions, where neither device nor Base Station reception is restricted by DRX.</w:t>
            </w:r>
          </w:p>
        </w:tc>
        <w:tc>
          <w:tcPr>
            <w:tcW w:w="1701"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lastRenderedPageBreak/>
              <w:t>General:  4 ms</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Special case:</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 xml:space="preserve">0.5 ms (the </w:t>
            </w:r>
            <w:r w:rsidRPr="00FF75FD">
              <w:rPr>
                <w:sz w:val="20"/>
                <w:szCs w:val="20"/>
              </w:rPr>
              <w:lastRenderedPageBreak/>
              <w:t>feasibility of 0.25 ms should be studied)</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Note: These values are average values for the uplink and downlink , e.g. 6 ms UL and 2 ms DL would meet the general requirement</w:t>
            </w:r>
          </w:p>
        </w:tc>
        <w:tc>
          <w:tcPr>
            <w:tcW w:w="1276"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lastRenderedPageBreak/>
              <w:t>Analytical</w:t>
            </w:r>
          </w:p>
        </w:tc>
        <w:tc>
          <w:tcPr>
            <w:tcW w:w="4820"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rFonts w:cs="Arial"/>
                <w:sz w:val="20"/>
                <w:szCs w:val="20"/>
              </w:rPr>
            </w:pPr>
            <w:r w:rsidRPr="00FF75FD">
              <w:rPr>
                <w:rFonts w:cs="Arial"/>
                <w:sz w:val="20"/>
                <w:szCs w:val="20"/>
              </w:rPr>
              <w:t xml:space="preserve">In the general case the evaluation should include an assessment of the applicable procedural delays when no resource has been already allocated (e.g. request/grant, contention channel access).  Furthermore, a </w:t>
            </w:r>
            <w:r w:rsidRPr="00FF75FD">
              <w:rPr>
                <w:rFonts w:cs="Arial"/>
                <w:sz w:val="20"/>
                <w:szCs w:val="20"/>
              </w:rPr>
              <w:lastRenderedPageBreak/>
              <w:t>fronthauling delay of 250 microseconds should be assumed to allow for a split of processing functions across NG radio access location.</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rFonts w:cs="Arial"/>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rFonts w:cs="Arial"/>
                <w:sz w:val="20"/>
                <w:szCs w:val="20"/>
              </w:rPr>
            </w:pPr>
            <w:r w:rsidRPr="00FF75FD">
              <w:rPr>
                <w:rFonts w:cs="Arial"/>
                <w:sz w:val="20"/>
                <w:szCs w:val="20"/>
              </w:rPr>
              <w:t>The value should be an average latency value, including the averaged HARQ delay.</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rFonts w:cs="Arial"/>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rFonts w:cs="Arial"/>
                <w:sz w:val="20"/>
                <w:szCs w:val="20"/>
              </w:rPr>
            </w:pPr>
            <w:r w:rsidRPr="00FF75FD">
              <w:rPr>
                <w:rFonts w:cs="Arial"/>
                <w:sz w:val="20"/>
                <w:szCs w:val="20"/>
              </w:rPr>
              <w:t>However in special cases for providing a minimum latency (e.g. for URLLC use case or, in case 0.25 ms is feasible,</w:t>
            </w:r>
            <w:r w:rsidRPr="00FF75FD">
              <w:rPr>
                <w:sz w:val="20"/>
                <w:szCs w:val="20"/>
              </w:rPr>
              <w:t xml:space="preserve"> enabling use of NG access for fronthaul</w:t>
            </w:r>
            <w:r w:rsidRPr="00FF75FD">
              <w:rPr>
                <w:rFonts w:cs="Arial"/>
                <w:sz w:val="20"/>
                <w:szCs w:val="20"/>
              </w:rPr>
              <w:t>), it can be assumed that resources are already allocated, and that no additional transport delay is involved.  Furthermore extra robustness can be assumed to reduce the HARQ probability, although the link efficiency impacts of that should then also be evaluated.</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rFonts w:cs="Arial"/>
                <w:sz w:val="20"/>
                <w:szCs w:val="20"/>
              </w:rPr>
              <w:t>FFS: How to obtain reasonable assumptions about retransmissions, HARQ probability, etc. in analytical evaluations.</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18"/>
                <w:szCs w:val="18"/>
              </w:rPr>
            </w:pPr>
            <w:r w:rsidRPr="00FF75FD">
              <w:rPr>
                <w:rFonts w:cs="Arial"/>
                <w:b w:val="0"/>
                <w:sz w:val="20"/>
                <w:szCs w:val="20"/>
                <w:lang w:eastAsia="zh-CN"/>
              </w:rPr>
              <w:lastRenderedPageBreak/>
              <w:t>Latency for infrequent small packets</w:t>
            </w:r>
          </w:p>
        </w:tc>
        <w:tc>
          <w:tcPr>
            <w:tcW w:w="4677"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rFonts w:cs="Arial"/>
                <w:sz w:val="20"/>
                <w:szCs w:val="20"/>
              </w:rPr>
              <w:t xml:space="preserve">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 </w:t>
            </w:r>
          </w:p>
        </w:tc>
        <w:tc>
          <w:tcPr>
            <w:tcW w:w="1701"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 xml:space="preserve">X ms for </w:t>
            </w:r>
            <w:r w:rsidRPr="00FF75FD">
              <w:rPr>
                <w:rFonts w:hint="eastAsia"/>
                <w:sz w:val="20"/>
                <w:szCs w:val="20"/>
              </w:rPr>
              <w:t>≤</w:t>
            </w:r>
            <w:r w:rsidRPr="00FF75FD">
              <w:rPr>
                <w:rFonts w:hint="eastAsia"/>
                <w:sz w:val="20"/>
                <w:szCs w:val="20"/>
              </w:rPr>
              <w:t>Y</w:t>
            </w:r>
            <w:r w:rsidRPr="00FF75FD">
              <w:rPr>
                <w:sz w:val="20"/>
                <w:szCs w:val="20"/>
              </w:rPr>
              <w:t xml:space="preserve"> bytes application layer packet size</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For mMTC extreme coverage and extreme battery life: X = [10000], Y = [TBD]</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 xml:space="preserve">For other use </w:t>
            </w:r>
            <w:r w:rsidRPr="00FF75FD">
              <w:rPr>
                <w:sz w:val="20"/>
                <w:szCs w:val="20"/>
              </w:rPr>
              <w:lastRenderedPageBreak/>
              <w:t>cases</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X = [10], Y = [TBD]</w:t>
            </w:r>
          </w:p>
        </w:tc>
        <w:tc>
          <w:tcPr>
            <w:tcW w:w="1276"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lastRenderedPageBreak/>
              <w:t>Analytical</w:t>
            </w:r>
          </w:p>
        </w:tc>
        <w:tc>
          <w:tcPr>
            <w:tcW w:w="4820"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FF75FD">
              <w:rPr>
                <w:rFonts w:cs="Arial"/>
                <w:sz w:val="20"/>
                <w:szCs w:val="20"/>
              </w:rPr>
              <w:t>This requirement shall be evaluated for at least when the device is operating in a scenario where extreme battery life and extreme coverage requirements also need to be simultaneously met.</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rFonts w:cs="Arial"/>
                <w:sz w:val="20"/>
                <w:szCs w:val="20"/>
              </w:rPr>
              <w:t>FFS: Reasonable assumptions about retransmissions, HARQ probability, etc. in analytical evaluations.</w:t>
            </w:r>
          </w:p>
        </w:tc>
      </w:tr>
      <w:tr w:rsidR="00E1779D"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18"/>
                <w:szCs w:val="18"/>
              </w:rPr>
            </w:pPr>
            <w:r w:rsidRPr="00FF75FD">
              <w:rPr>
                <w:b w:val="0"/>
                <w:sz w:val="20"/>
                <w:szCs w:val="20"/>
              </w:rPr>
              <w:lastRenderedPageBreak/>
              <w:t>Mobility interruption time</w:t>
            </w:r>
          </w:p>
        </w:tc>
        <w:tc>
          <w:tcPr>
            <w:tcW w:w="4677"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20"/>
                <w:szCs w:val="20"/>
              </w:rPr>
              <w:t xml:space="preserve">The shortest time duration supported by the system during which a user terminal cannot exchange user plane packets with any base station during transitions. </w:t>
            </w:r>
          </w:p>
        </w:tc>
        <w:tc>
          <w:tcPr>
            <w:tcW w:w="1701"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0 ms</w:t>
            </w:r>
          </w:p>
        </w:tc>
        <w:tc>
          <w:tcPr>
            <w:tcW w:w="1276"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Analytical</w:t>
            </w:r>
          </w:p>
        </w:tc>
        <w:tc>
          <w:tcPr>
            <w:tcW w:w="4820" w:type="dxa"/>
            <w:shd w:val="clear" w:color="auto" w:fill="auto"/>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Possibly different requirements for intra-frequency and inter-frequency mobility interruption and for different services. In case multi-connectivity is supported, there could be no mobility interruption time.</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20"/>
                <w:szCs w:val="20"/>
              </w:rPr>
            </w:pPr>
            <w:r w:rsidRPr="00FF75FD">
              <w:rPr>
                <w:b w:val="0"/>
                <w:sz w:val="20"/>
                <w:szCs w:val="20"/>
              </w:rPr>
              <w:t>Inter-system handover interruption time</w:t>
            </w:r>
          </w:p>
        </w:tc>
        <w:tc>
          <w:tcPr>
            <w:tcW w:w="4677"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The shortest time duration supported by the system during which a user terminal cannot exchange user plane packets with any base station during transitions between 5G new radio and another radio access technology (RAT). Other RATs include at least LTE evolution. Additional other RATs, including non-3GPP RATs, are FFS.</w:t>
            </w:r>
          </w:p>
        </w:tc>
        <w:tc>
          <w:tcPr>
            <w:tcW w:w="1701"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TBD</w:t>
            </w:r>
          </w:p>
        </w:tc>
        <w:tc>
          <w:tcPr>
            <w:tcW w:w="1276"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Analytical</w:t>
            </w:r>
          </w:p>
        </w:tc>
        <w:tc>
          <w:tcPr>
            <w:tcW w:w="4820" w:type="dxa"/>
            <w:shd w:val="clear" w:color="auto" w:fill="EAF1DD" w:themeFill="accent3" w:themeFillTint="33"/>
          </w:tcPr>
          <w:p w:rsidR="00E1779D" w:rsidRPr="00FF75FD" w:rsidRDefault="00E1779D" w:rsidP="00B7125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Possibly different requirements for handovers between new 5G RAT and different RATs.</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p>
        </w:tc>
      </w:tr>
      <w:tr w:rsidR="00E1779D"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20"/>
                <w:szCs w:val="20"/>
              </w:rPr>
            </w:pPr>
            <w:r w:rsidRPr="00FF75FD">
              <w:rPr>
                <w:b w:val="0"/>
                <w:sz w:val="20"/>
                <w:szCs w:val="20"/>
              </w:rPr>
              <w:t>Support for wide range of services</w:t>
            </w:r>
          </w:p>
        </w:tc>
        <w:tc>
          <w:tcPr>
            <w:tcW w:w="4677"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The ability of the access technology to meet the connectivity requirements of a range of existing and future (as yet unknown) services to be operable on a single continuous block of spectrum in an efficient manner.</w:t>
            </w:r>
          </w:p>
        </w:tc>
        <w:tc>
          <w:tcPr>
            <w:tcW w:w="1701"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Yes</w:t>
            </w:r>
          </w:p>
        </w:tc>
        <w:tc>
          <w:tcPr>
            <w:tcW w:w="1276"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Inspection</w:t>
            </w:r>
          </w:p>
        </w:tc>
        <w:tc>
          <w:tcPr>
            <w:tcW w:w="4820" w:type="dxa"/>
            <w:shd w:val="clear" w:color="auto" w:fill="auto"/>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The components to inspect are for FFS.</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20"/>
                <w:szCs w:val="20"/>
              </w:rPr>
            </w:pPr>
            <w:r w:rsidRPr="00FF75FD">
              <w:rPr>
                <w:b w:val="0"/>
                <w:sz w:val="20"/>
                <w:szCs w:val="20"/>
              </w:rPr>
              <w:t>Duplexing flexibility</w:t>
            </w:r>
          </w:p>
        </w:tc>
        <w:tc>
          <w:tcPr>
            <w:tcW w:w="4677"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The ability of the access technology to adapt its allocation of resources flexibly for uplink and downlink for both paired and unpaired frequency bands.</w:t>
            </w:r>
          </w:p>
        </w:tc>
        <w:tc>
          <w:tcPr>
            <w:tcW w:w="1701"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Yes</w:t>
            </w:r>
          </w:p>
        </w:tc>
        <w:tc>
          <w:tcPr>
            <w:tcW w:w="1276"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Inspection</w:t>
            </w:r>
          </w:p>
        </w:tc>
        <w:tc>
          <w:tcPr>
            <w:tcW w:w="4820" w:type="dxa"/>
            <w:shd w:val="clear" w:color="auto" w:fill="EAF1DD" w:themeFill="accent3" w:themeFillTint="33"/>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Applicable for frequency bands in at least existing and future IMT-bands.</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This flexibility may be used for a wide range of requirements such as uplink/downlink traffic patterns, latency, load, etc.</w:t>
            </w:r>
          </w:p>
        </w:tc>
      </w:tr>
      <w:tr w:rsidR="00E1779D"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20"/>
                <w:szCs w:val="20"/>
              </w:rPr>
            </w:pPr>
            <w:r w:rsidRPr="00FF75FD">
              <w:rPr>
                <w:b w:val="0"/>
                <w:sz w:val="20"/>
                <w:szCs w:val="20"/>
              </w:rPr>
              <w:t>Network energy efficiency</w:t>
            </w:r>
          </w:p>
        </w:tc>
        <w:tc>
          <w:tcPr>
            <w:tcW w:w="4677"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The capability of a radio access network (RAN) to minimize the RAN energy consumption while providing a much better area traffic capacity.</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tc>
        <w:tc>
          <w:tcPr>
            <w:tcW w:w="1701"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FFS</w:t>
            </w:r>
          </w:p>
        </w:tc>
        <w:tc>
          <w:tcPr>
            <w:tcW w:w="1276"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Inspection and system-level simulation (FTP traffic)</w:t>
            </w:r>
          </w:p>
        </w:tc>
        <w:tc>
          <w:tcPr>
            <w:tcW w:w="4820" w:type="dxa"/>
            <w:shd w:val="clear" w:color="auto" w:fill="auto"/>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Note: Definition of better area traffic capacity is to be captured as part of the evaluation.</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 xml:space="preserve">3GPP is encouraged to study models to help clarify how energy efficiency can be evaluated. Evaluation shall allow to benchmark technology proposals on their </w:t>
            </w:r>
            <w:r w:rsidRPr="00FF75FD">
              <w:rPr>
                <w:sz w:val="20"/>
                <w:szCs w:val="20"/>
              </w:rPr>
              <w:lastRenderedPageBreak/>
              <w:t>energy efficiency potential.</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sidDel="00174352">
              <w:rPr>
                <w:sz w:val="20"/>
                <w:szCs w:val="20"/>
              </w:rPr>
              <w:t xml:space="preserve"> </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Inspection: Introduce design principles taking into account energy consumption, e.g., (if no/limited transmission when there is no data, etc.)</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System-level simulation: This KPI should be evaluated in terms of Mbit/s/W at the global RAN level. Specifically, this KPI has to be defined for different load levels and for different deployment scenarios.</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3GPP is encouraged to evaluate energy efficiency not for peak hour but based on a 24 hour daily traffic profile. The related evaluation methodology needs to be developed within 3GPP relevant studies [5G Technology Study] (ex. ETSI 203 228). For example, base station load levels could be recorded during simulations to be translated into energy consumption by means of a base station power model (e.g., Greentouch) assuming the following energy efficiency (EE) formulation:</w:t>
            </w:r>
          </w:p>
          <w:p w:rsidR="00E1779D" w:rsidRPr="00FF75FD" w:rsidRDefault="00E1779D" w:rsidP="00B71254">
            <w:pPr>
              <w:numPr>
                <w:ilvl w:val="0"/>
                <w:numId w:val="29"/>
              </w:numPr>
              <w:spacing w:after="200"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a</w:t>
            </w:r>
            <w:r w:rsidRPr="00FF75FD">
              <w:rPr>
                <w:sz w:val="20"/>
                <w:szCs w:val="20"/>
                <w:vertAlign w:val="subscript"/>
              </w:rPr>
              <w:t>l</w:t>
            </w:r>
            <w:r w:rsidRPr="00FF75FD">
              <w:rPr>
                <w:sz w:val="20"/>
                <w:szCs w:val="20"/>
              </w:rPr>
              <w:t>=weight for load level l</w:t>
            </w:r>
          </w:p>
          <w:p w:rsidR="00E1779D" w:rsidRPr="00FF75FD" w:rsidRDefault="00E1779D" w:rsidP="00B71254">
            <w:pPr>
              <w:numPr>
                <w:ilvl w:val="0"/>
                <w:numId w:val="29"/>
              </w:numPr>
              <w:spacing w:after="200"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b</w:t>
            </w:r>
            <w:r w:rsidRPr="00FF75FD">
              <w:rPr>
                <w:sz w:val="20"/>
                <w:szCs w:val="20"/>
                <w:vertAlign w:val="subscript"/>
              </w:rPr>
              <w:t>K</w:t>
            </w:r>
            <w:r w:rsidRPr="00FF75FD">
              <w:rPr>
                <w:sz w:val="20"/>
                <w:szCs w:val="20"/>
              </w:rPr>
              <w:t>=weight for deployment scenario K</w:t>
            </w:r>
          </w:p>
          <w:p w:rsidR="00E1779D" w:rsidRPr="00FF75FD" w:rsidRDefault="00E1779D" w:rsidP="00B71254">
            <w:pPr>
              <w:numPr>
                <w:ilvl w:val="0"/>
                <w:numId w:val="29"/>
              </w:numPr>
              <w:spacing w:after="200"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V</w:t>
            </w:r>
            <w:r w:rsidRPr="00FF75FD">
              <w:rPr>
                <w:sz w:val="20"/>
                <w:szCs w:val="20"/>
                <w:vertAlign w:val="subscript"/>
              </w:rPr>
              <w:t>l</w:t>
            </w:r>
            <w:r w:rsidRPr="00FF75FD">
              <w:rPr>
                <w:sz w:val="20"/>
                <w:szCs w:val="20"/>
              </w:rPr>
              <w:t xml:space="preserve">=aggregated throughput served in the simulated area for load level l (in Mbps), or equivalently served traffic volume divided by the simulation period </w:t>
            </w:r>
          </w:p>
          <w:p w:rsidR="00E1779D" w:rsidRPr="00FF75FD" w:rsidRDefault="00E1779D" w:rsidP="00B71254">
            <w:pPr>
              <w:numPr>
                <w:ilvl w:val="0"/>
                <w:numId w:val="29"/>
              </w:numPr>
              <w:spacing w:after="200"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lastRenderedPageBreak/>
              <w:t>EC</w:t>
            </w:r>
            <w:r w:rsidRPr="00FF75FD">
              <w:rPr>
                <w:sz w:val="20"/>
                <w:szCs w:val="20"/>
                <w:vertAlign w:val="subscript"/>
              </w:rPr>
              <w:t>l</w:t>
            </w:r>
            <w:r w:rsidRPr="00FF75FD">
              <w:rPr>
                <w:sz w:val="20"/>
                <w:szCs w:val="20"/>
              </w:rPr>
              <w:t>=sum of the average power consumption of all RAN nodes in the simulated area during load level l (in Watt)</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434332" w:rsidP="00B71254">
            <w:pPr>
              <w:cnfStyle w:val="000000010000" w:firstRow="0" w:lastRow="0" w:firstColumn="0" w:lastColumn="0" w:oddVBand="0" w:evenVBand="0" w:oddHBand="0" w:evenHBand="1" w:firstRowFirstColumn="0" w:firstRowLastColumn="0" w:lastRowFirstColumn="0" w:lastRowLastColumn="0"/>
              <w:rPr>
                <w:sz w:val="20"/>
                <w:szCs w:val="20"/>
              </w:rPr>
            </w:pPr>
            <m:oMathPara>
              <m:oMath>
                <m:sSub>
                  <m:sSubPr>
                    <m:ctrlPr>
                      <w:rPr>
                        <w:rFonts w:ascii="Cambria Math" w:hAnsi="Cambria Math"/>
                        <w:i/>
                        <w:iCs/>
                        <w:sz w:val="20"/>
                        <w:szCs w:val="20"/>
                      </w:rPr>
                    </m:ctrlPr>
                  </m:sSubPr>
                  <m:e>
                    <m:r>
                      <w:rPr>
                        <w:rFonts w:ascii="Cambria Math" w:hAnsi="Cambria Math"/>
                        <w:sz w:val="20"/>
                        <w:szCs w:val="20"/>
                      </w:rPr>
                      <m:t>EE</m:t>
                    </m:r>
                  </m:e>
                  <m:sub>
                    <m:r>
                      <w:rPr>
                        <w:rFonts w:ascii="Cambria Math" w:hAnsi="Cambria Math"/>
                        <w:sz w:val="20"/>
                        <w:szCs w:val="20"/>
                      </w:rPr>
                      <m:t>scenario</m:t>
                    </m:r>
                  </m:sub>
                </m:sSub>
                <m:r>
                  <w:rPr>
                    <w:rFonts w:ascii="Cambria Math" w:hAnsi="Cambria Math"/>
                    <w:sz w:val="20"/>
                    <w:szCs w:val="20"/>
                  </w:rPr>
                  <m:t>=</m:t>
                </m:r>
                <m:nary>
                  <m:naryPr>
                    <m:chr m:val="∑"/>
                    <m:supHide m:val="1"/>
                    <m:ctrlPr>
                      <w:rPr>
                        <w:rFonts w:ascii="Cambria Math" w:hAnsi="Cambria Math"/>
                        <w:i/>
                        <w:iCs/>
                        <w:sz w:val="20"/>
                        <w:szCs w:val="20"/>
                      </w:rPr>
                    </m:ctrlPr>
                  </m:naryPr>
                  <m:sub>
                    <m:r>
                      <w:rPr>
                        <w:rFonts w:ascii="Cambria Math" w:hAnsi="Cambria Math"/>
                        <w:sz w:val="20"/>
                        <w:szCs w:val="20"/>
                      </w:rPr>
                      <m:t>load level l</m:t>
                    </m:r>
                  </m:sub>
                  <m:sup/>
                  <m:e>
                    <m:sSub>
                      <m:sSubPr>
                        <m:ctrlPr>
                          <w:rPr>
                            <w:rFonts w:ascii="Cambria Math" w:hAnsi="Cambria Math"/>
                            <w:i/>
                            <w:iCs/>
                            <w:sz w:val="20"/>
                            <w:szCs w:val="20"/>
                          </w:rPr>
                        </m:ctrlPr>
                      </m:sSubPr>
                      <m:e>
                        <m:r>
                          <w:rPr>
                            <w:rFonts w:ascii="Cambria Math" w:hAnsi="Cambria Math"/>
                            <w:sz w:val="20"/>
                            <w:szCs w:val="20"/>
                          </w:rPr>
                          <m:t>a</m:t>
                        </m:r>
                      </m:e>
                      <m:sub>
                        <m:r>
                          <w:rPr>
                            <w:rFonts w:ascii="Cambria Math" w:hAnsi="Cambria Math"/>
                            <w:sz w:val="20"/>
                            <w:szCs w:val="20"/>
                          </w:rPr>
                          <m:t>l</m:t>
                        </m:r>
                      </m:sub>
                    </m:sSub>
                    <m:f>
                      <m:fPr>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V</m:t>
                            </m:r>
                          </m:e>
                          <m:sub>
                            <m:r>
                              <w:rPr>
                                <w:rFonts w:ascii="Cambria Math" w:hAnsi="Cambria Math"/>
                                <w:sz w:val="20"/>
                                <w:szCs w:val="20"/>
                              </w:rPr>
                              <m:t>l</m:t>
                            </m:r>
                          </m:sub>
                        </m:sSub>
                      </m:num>
                      <m:den>
                        <m:sSub>
                          <m:sSubPr>
                            <m:ctrlPr>
                              <w:rPr>
                                <w:rFonts w:ascii="Cambria Math" w:hAnsi="Cambria Math"/>
                                <w:i/>
                                <w:iCs/>
                                <w:sz w:val="20"/>
                                <w:szCs w:val="20"/>
                              </w:rPr>
                            </m:ctrlPr>
                          </m:sSubPr>
                          <m:e>
                            <m:r>
                              <w:rPr>
                                <w:rFonts w:ascii="Cambria Math" w:hAnsi="Cambria Math"/>
                                <w:sz w:val="20"/>
                                <w:szCs w:val="20"/>
                              </w:rPr>
                              <m:t>EC</m:t>
                            </m:r>
                          </m:e>
                          <m:sub>
                            <m:r>
                              <w:rPr>
                                <w:rFonts w:ascii="Cambria Math" w:hAnsi="Cambria Math"/>
                                <w:sz w:val="20"/>
                                <w:szCs w:val="20"/>
                              </w:rPr>
                              <m:t>l</m:t>
                            </m:r>
                          </m:sub>
                        </m:sSub>
                      </m:den>
                    </m:f>
                  </m:e>
                </m:nary>
              </m:oMath>
            </m:oMathPara>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434332" w:rsidP="00B71254">
            <w:pPr>
              <w:cnfStyle w:val="000000010000" w:firstRow="0" w:lastRow="0" w:firstColumn="0" w:lastColumn="0" w:oddVBand="0" w:evenVBand="0" w:oddHBand="0" w:evenHBand="1" w:firstRowFirstColumn="0" w:firstRowLastColumn="0" w:lastRowFirstColumn="0" w:lastRowLastColumn="0"/>
              <w:rPr>
                <w:sz w:val="20"/>
                <w:szCs w:val="20"/>
              </w:rPr>
            </w:pPr>
            <m:oMathPara>
              <m:oMath>
                <m:sSub>
                  <m:sSubPr>
                    <m:ctrlPr>
                      <w:rPr>
                        <w:rFonts w:ascii="Cambria Math" w:hAnsi="Cambria Math"/>
                        <w:i/>
                        <w:iCs/>
                        <w:sz w:val="20"/>
                        <w:szCs w:val="20"/>
                      </w:rPr>
                    </m:ctrlPr>
                  </m:sSubPr>
                  <m:e>
                    <m:r>
                      <w:rPr>
                        <w:rFonts w:ascii="Cambria Math" w:hAnsi="Cambria Math"/>
                        <w:sz w:val="20"/>
                        <w:szCs w:val="20"/>
                      </w:rPr>
                      <m:t>EE</m:t>
                    </m:r>
                  </m:e>
                  <m:sub>
                    <m:r>
                      <w:rPr>
                        <w:rFonts w:ascii="Cambria Math" w:hAnsi="Cambria Math"/>
                        <w:sz w:val="20"/>
                        <w:szCs w:val="20"/>
                      </w:rPr>
                      <m:t>global</m:t>
                    </m:r>
                  </m:sub>
                </m:sSub>
                <m:r>
                  <w:rPr>
                    <w:rFonts w:ascii="Cambria Math" w:hAnsi="Cambria Math"/>
                    <w:sz w:val="20"/>
                    <w:szCs w:val="20"/>
                  </w:rPr>
                  <m:t>=</m:t>
                </m:r>
                <m:nary>
                  <m:naryPr>
                    <m:chr m:val="∑"/>
                    <m:supHide m:val="1"/>
                    <m:ctrlPr>
                      <w:rPr>
                        <w:rFonts w:ascii="Cambria Math" w:hAnsi="Cambria Math"/>
                        <w:i/>
                        <w:iCs/>
                        <w:sz w:val="20"/>
                        <w:szCs w:val="20"/>
                      </w:rPr>
                    </m:ctrlPr>
                  </m:naryPr>
                  <m:sub>
                    <m:r>
                      <w:rPr>
                        <w:rFonts w:ascii="Cambria Math" w:hAnsi="Cambria Math"/>
                        <w:sz w:val="20"/>
                        <w:szCs w:val="20"/>
                      </w:rPr>
                      <m:t>scenario K</m:t>
                    </m:r>
                  </m:sub>
                  <m:sup/>
                  <m:e>
                    <m:sSub>
                      <m:sSubPr>
                        <m:ctrlPr>
                          <w:rPr>
                            <w:rFonts w:ascii="Cambria Math" w:hAnsi="Cambria Math"/>
                            <w:i/>
                            <w:iCs/>
                            <w:sz w:val="20"/>
                            <w:szCs w:val="20"/>
                          </w:rPr>
                        </m:ctrlPr>
                      </m:sSubPr>
                      <m:e>
                        <m:r>
                          <w:rPr>
                            <w:rFonts w:ascii="Cambria Math" w:hAnsi="Cambria Math"/>
                            <w:sz w:val="20"/>
                            <w:szCs w:val="20"/>
                          </w:rPr>
                          <m:t>b</m:t>
                        </m:r>
                      </m:e>
                      <m:sub>
                        <m:r>
                          <w:rPr>
                            <w:rFonts w:ascii="Cambria Math" w:hAnsi="Cambria Math"/>
                            <w:sz w:val="20"/>
                            <w:szCs w:val="20"/>
                          </w:rPr>
                          <m:t>K</m:t>
                        </m:r>
                      </m:sub>
                    </m:sSub>
                    <m:sSub>
                      <m:sSubPr>
                        <m:ctrlPr>
                          <w:rPr>
                            <w:rFonts w:ascii="Cambria Math" w:hAnsi="Cambria Math"/>
                            <w:i/>
                            <w:iCs/>
                            <w:sz w:val="20"/>
                            <w:szCs w:val="20"/>
                          </w:rPr>
                        </m:ctrlPr>
                      </m:sSubPr>
                      <m:e>
                        <m:r>
                          <w:rPr>
                            <w:rFonts w:ascii="Cambria Math" w:hAnsi="Cambria Math"/>
                            <w:sz w:val="20"/>
                            <w:szCs w:val="20"/>
                          </w:rPr>
                          <m:t>EE</m:t>
                        </m:r>
                      </m:e>
                      <m:sub>
                        <m:r>
                          <w:rPr>
                            <w:rFonts w:ascii="Cambria Math" w:hAnsi="Cambria Math"/>
                            <w:sz w:val="20"/>
                            <w:szCs w:val="20"/>
                          </w:rPr>
                          <m:t>scenario</m:t>
                        </m:r>
                      </m:sub>
                    </m:sSub>
                  </m:e>
                </m:nary>
              </m:oMath>
            </m:oMathPara>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Other methodology could also be studied.</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Proposals for the 24 hour daily traffic profiles could be provided by operators. At least, energy efficiency should be evaluated in coverage limited environments (e.g., rural) and capacity limited environments (e.g., urban).</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rFonts w:cs="Arial"/>
                <w:sz w:val="20"/>
                <w:szCs w:val="20"/>
              </w:rPr>
              <w:t>Every effort should be made to obtain the energy gain without degrading the performance, but the technology should allow native flexibility for the operator to configure trade-off between energy efficiency versus performance where justified.</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20"/>
                <w:szCs w:val="20"/>
              </w:rPr>
            </w:pPr>
            <w:r w:rsidRPr="00FF75FD">
              <w:rPr>
                <w:b w:val="0"/>
                <w:sz w:val="20"/>
                <w:szCs w:val="20"/>
              </w:rPr>
              <w:lastRenderedPageBreak/>
              <w:t>Peak data rate</w:t>
            </w:r>
          </w:p>
        </w:tc>
        <w:tc>
          <w:tcPr>
            <w:tcW w:w="4677"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The highest theoretical data rate which is the received data bits assuming error-free conditions assignable to a single mobile station, when all available radio resources for the corresponding link direction are utilised (i.e., excluding radio resources that are used for physical layer synchronisation, reference signals or pilots, guard bands and guard times).</w:t>
            </w:r>
          </w:p>
        </w:tc>
        <w:tc>
          <w:tcPr>
            <w:tcW w:w="1701"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N/A</w:t>
            </w:r>
          </w:p>
        </w:tc>
        <w:tc>
          <w:tcPr>
            <w:tcW w:w="1276"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Analytical</w:t>
            </w:r>
          </w:p>
        </w:tc>
        <w:tc>
          <w:tcPr>
            <w:tcW w:w="4820" w:type="dxa"/>
            <w:shd w:val="clear" w:color="auto" w:fill="EAF1DD" w:themeFill="accent3" w:themeFillTint="33"/>
          </w:tcPr>
          <w:p w:rsidR="00E1779D" w:rsidRPr="00FF75FD" w:rsidRDefault="00E1779D" w:rsidP="00B7125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NGMN will not define requirements for peak data rate and peak spectral efficiency. Consistent user experience is of a higher priority for NGMN than peak data rate.</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p>
        </w:tc>
      </w:tr>
      <w:tr w:rsidR="00E1779D"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20"/>
                <w:szCs w:val="20"/>
              </w:rPr>
            </w:pPr>
            <w:r w:rsidRPr="00FF75FD">
              <w:rPr>
                <w:b w:val="0"/>
                <w:sz w:val="20"/>
                <w:szCs w:val="20"/>
              </w:rPr>
              <w:lastRenderedPageBreak/>
              <w:t>Peak spectral efficiency</w:t>
            </w:r>
          </w:p>
        </w:tc>
        <w:tc>
          <w:tcPr>
            <w:tcW w:w="4677"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The peak data rate normalized by bandwidth.</w:t>
            </w:r>
          </w:p>
        </w:tc>
        <w:tc>
          <w:tcPr>
            <w:tcW w:w="1701"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N/A</w:t>
            </w:r>
          </w:p>
        </w:tc>
        <w:tc>
          <w:tcPr>
            <w:tcW w:w="1276"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Analytical</w:t>
            </w:r>
          </w:p>
        </w:tc>
        <w:tc>
          <w:tcPr>
            <w:tcW w:w="4820" w:type="dxa"/>
            <w:shd w:val="clear" w:color="auto" w:fill="auto"/>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See remark for peak data rate (above).</w:t>
            </w:r>
          </w:p>
        </w:tc>
      </w:tr>
    </w:tbl>
    <w:p w:rsidR="00E1779D" w:rsidRPr="00FF75FD" w:rsidRDefault="00E1779D" w:rsidP="00E1779D">
      <w:pPr>
        <w:spacing w:after="0"/>
      </w:pPr>
    </w:p>
    <w:p w:rsidR="00E1779D" w:rsidRPr="00FF75FD" w:rsidRDefault="00E1779D" w:rsidP="00E1779D">
      <w:pPr>
        <w:rPr>
          <w:b/>
          <w:bCs/>
          <w:sz w:val="20"/>
          <w:szCs w:val="20"/>
        </w:rPr>
      </w:pPr>
      <w:r w:rsidRPr="00FF75FD">
        <w:rPr>
          <w:rFonts w:hint="eastAsia"/>
          <w:sz w:val="20"/>
          <w:szCs w:val="20"/>
          <w:lang w:eastAsia="zh-CN"/>
        </w:rPr>
        <w:t>Note: The different content from the previous LS to RAN AH is marked in red.</w:t>
      </w:r>
      <w:r w:rsidRPr="00FF75FD">
        <w:rPr>
          <w:sz w:val="20"/>
          <w:szCs w:val="20"/>
        </w:rPr>
        <w:br w:type="page"/>
      </w:r>
    </w:p>
    <w:p w:rsidR="00E1779D" w:rsidRPr="00FF75FD" w:rsidRDefault="00E1779D" w:rsidP="00E1779D">
      <w:pPr>
        <w:pStyle w:val="Beschriftung"/>
        <w:keepNext/>
        <w:jc w:val="center"/>
        <w:rPr>
          <w:sz w:val="20"/>
          <w:szCs w:val="20"/>
        </w:rPr>
      </w:pPr>
      <w:r w:rsidRPr="00FF75FD">
        <w:rPr>
          <w:sz w:val="20"/>
          <w:szCs w:val="20"/>
        </w:rPr>
        <w:lastRenderedPageBreak/>
        <w:t xml:space="preserve">Table </w:t>
      </w:r>
      <w:r w:rsidR="00B81428" w:rsidRPr="00FF75FD">
        <w:rPr>
          <w:sz w:val="20"/>
          <w:szCs w:val="20"/>
        </w:rPr>
        <w:fldChar w:fldCharType="begin"/>
      </w:r>
      <w:r w:rsidRPr="00FF75FD">
        <w:rPr>
          <w:sz w:val="20"/>
          <w:szCs w:val="20"/>
        </w:rPr>
        <w:instrText xml:space="preserve"> SEQ Table \* ARABIC </w:instrText>
      </w:r>
      <w:r w:rsidR="00B81428" w:rsidRPr="00FF75FD">
        <w:rPr>
          <w:sz w:val="20"/>
          <w:szCs w:val="20"/>
        </w:rPr>
        <w:fldChar w:fldCharType="separate"/>
      </w:r>
      <w:r w:rsidRPr="00FF75FD">
        <w:rPr>
          <w:noProof/>
          <w:sz w:val="20"/>
          <w:szCs w:val="20"/>
        </w:rPr>
        <w:t>2</w:t>
      </w:r>
      <w:r w:rsidR="00B81428" w:rsidRPr="00FF75FD">
        <w:rPr>
          <w:sz w:val="20"/>
          <w:szCs w:val="20"/>
        </w:rPr>
        <w:fldChar w:fldCharType="end"/>
      </w:r>
      <w:r w:rsidRPr="00FF75FD">
        <w:rPr>
          <w:sz w:val="20"/>
          <w:szCs w:val="20"/>
        </w:rPr>
        <w:t>: Deployment-scenario specific KPIs and requirements</w:t>
      </w:r>
    </w:p>
    <w:tbl>
      <w:tblPr>
        <w:tblStyle w:val="HellesRaster-Akzent3"/>
        <w:tblW w:w="14176" w:type="dxa"/>
        <w:tblInd w:w="-601" w:type="dxa"/>
        <w:tblLayout w:type="fixed"/>
        <w:tblLook w:val="04A0" w:firstRow="1" w:lastRow="0" w:firstColumn="1" w:lastColumn="0" w:noHBand="0" w:noVBand="1"/>
      </w:tblPr>
      <w:tblGrid>
        <w:gridCol w:w="1702"/>
        <w:gridCol w:w="4819"/>
        <w:gridCol w:w="1559"/>
        <w:gridCol w:w="1985"/>
        <w:gridCol w:w="4111"/>
      </w:tblGrid>
      <w:tr w:rsidR="00E1779D" w:rsidRPr="00FF75FD" w:rsidTr="00B712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20"/>
                <w:szCs w:val="20"/>
              </w:rPr>
            </w:pPr>
            <w:r w:rsidRPr="00FF75FD">
              <w:rPr>
                <w:sz w:val="20"/>
                <w:szCs w:val="20"/>
              </w:rPr>
              <w:t>KPI</w:t>
            </w:r>
          </w:p>
        </w:tc>
        <w:tc>
          <w:tcPr>
            <w:tcW w:w="4819" w:type="dxa"/>
          </w:tcPr>
          <w:p w:rsidR="00E1779D" w:rsidRPr="00FF75FD" w:rsidRDefault="00E1779D"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Definition</w:t>
            </w:r>
          </w:p>
        </w:tc>
        <w:tc>
          <w:tcPr>
            <w:tcW w:w="1559" w:type="dxa"/>
          </w:tcPr>
          <w:p w:rsidR="00E1779D" w:rsidRPr="00FF75FD" w:rsidRDefault="00E1779D"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Requirement</w:t>
            </w:r>
          </w:p>
        </w:tc>
        <w:tc>
          <w:tcPr>
            <w:tcW w:w="1985" w:type="dxa"/>
          </w:tcPr>
          <w:p w:rsidR="00E1779D" w:rsidRPr="00FF75FD" w:rsidRDefault="00E1779D"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Evaluation method</w:t>
            </w:r>
          </w:p>
        </w:tc>
        <w:tc>
          <w:tcPr>
            <w:tcW w:w="4111" w:type="dxa"/>
          </w:tcPr>
          <w:p w:rsidR="00E1779D" w:rsidRPr="00FF75FD" w:rsidRDefault="00E1779D"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Remarks</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spacing w:line="276" w:lineRule="auto"/>
              <w:rPr>
                <w:b w:val="0"/>
                <w:sz w:val="20"/>
                <w:szCs w:val="20"/>
              </w:rPr>
            </w:pPr>
            <w:r w:rsidRPr="00FF75FD">
              <w:rPr>
                <w:b w:val="0"/>
                <w:sz w:val="20"/>
                <w:szCs w:val="20"/>
              </w:rPr>
              <w:t>Transmission/ Reception Point (TRP) average spectrum efficiency</w:t>
            </w:r>
          </w:p>
          <w:p w:rsidR="00E1779D" w:rsidRPr="00FF75FD" w:rsidRDefault="00E1779D" w:rsidP="00B71254">
            <w:pPr>
              <w:rPr>
                <w:sz w:val="18"/>
                <w:szCs w:val="18"/>
              </w:rPr>
            </w:pPr>
          </w:p>
        </w:tc>
        <w:tc>
          <w:tcPr>
            <w:tcW w:w="4819"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The aggregate throughput of all users (the number of</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correctly received bits, i.e. the number of bits contained in the service data units (SDUs) delivered</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to Layer 3, over a certain period of time) divided by the channel bandwidth divided by the number of TRPs. The channel bandwidth for this purpose is defined as the effective bandwidth times the frequency reuse factor, where the effective bandwidth is the operating bandwidth normalised appropriately considering the uplink/downlink ratio.</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The TRP spectral efficiency is measured in bit/s/Hz/TRP.</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20"/>
                <w:szCs w:val="20"/>
              </w:rPr>
              <w:t>A 3 sector site consists of 3 TRPs.</w:t>
            </w:r>
          </w:p>
        </w:tc>
        <w:tc>
          <w:tcPr>
            <w:tcW w:w="1559" w:type="dxa"/>
          </w:tcPr>
          <w:p w:rsidR="00E1779D" w:rsidRPr="00FF75FD" w:rsidRDefault="00E1779D" w:rsidP="00B71254">
            <w:pPr>
              <w:ind w:left="34"/>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TBD</w:t>
            </w:r>
          </w:p>
        </w:tc>
        <w:tc>
          <w:tcPr>
            <w:tcW w:w="1985"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System-level simulation (full-buffer)</w:t>
            </w:r>
          </w:p>
        </w:tc>
        <w:tc>
          <w:tcPr>
            <w:tcW w:w="4111" w:type="dxa"/>
          </w:tcPr>
          <w:p w:rsidR="00E1779D" w:rsidRPr="00FF75FD" w:rsidRDefault="00E1779D" w:rsidP="00B7125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Assessment for multi-layer and multi-band is FFS.</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How to evaluate outdoor and indoor users independently needs to be considered.</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NGMN white paper targets significant improvements in spectrum efficiency.</w:t>
            </w:r>
          </w:p>
        </w:tc>
      </w:tr>
      <w:tr w:rsidR="00E1779D" w:rsidRPr="00FF75FD" w:rsidTr="00B71254">
        <w:trPr>
          <w:cnfStyle w:val="000000010000" w:firstRow="0" w:lastRow="0" w:firstColumn="0" w:lastColumn="0" w:oddVBand="0" w:evenVBand="0" w:oddHBand="0" w:evenHBand="1" w:firstRowFirstColumn="0" w:firstRowLastColumn="0" w:lastRowFirstColumn="0" w:lastRowLastColumn="0"/>
          <w:trHeight w:val="4753"/>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18"/>
                <w:szCs w:val="18"/>
              </w:rPr>
            </w:pPr>
            <w:r w:rsidRPr="00FF75FD">
              <w:rPr>
                <w:b w:val="0"/>
                <w:sz w:val="20"/>
                <w:szCs w:val="20"/>
              </w:rPr>
              <w:lastRenderedPageBreak/>
              <w:t>User experienced data rate</w:t>
            </w:r>
          </w:p>
        </w:tc>
        <w:tc>
          <w:tcPr>
            <w:tcW w:w="4819"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20"/>
                <w:szCs w:val="20"/>
              </w:rPr>
              <w:t>The 5%-percentile of the user throughput. User throughput (during active time) of an individual burst is defined as the size of a burst divided by the time between the arrival of the first packet of a burst and the reception of the last packet of the burst</w:t>
            </w:r>
            <w:r w:rsidRPr="00FF75FD">
              <w:t>.</w:t>
            </w:r>
          </w:p>
        </w:tc>
        <w:tc>
          <w:tcPr>
            <w:tcW w:w="1559"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Indoor</w:t>
            </w:r>
          </w:p>
          <w:p w:rsidR="00E1779D" w:rsidRPr="00FF75FD" w:rsidRDefault="00134157"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DL: 1 Gbit/s</w:t>
            </w:r>
          </w:p>
          <w:p w:rsidR="00E1779D" w:rsidRPr="00FF75FD" w:rsidRDefault="00134157"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UL: 500 Mbit/s</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Dense urban</w:t>
            </w:r>
          </w:p>
          <w:p w:rsidR="00E1779D" w:rsidRPr="00FF75FD" w:rsidRDefault="00134157"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DL: 300 Mbit/s</w:t>
            </w:r>
          </w:p>
          <w:p w:rsidR="00E1779D" w:rsidRPr="00FF75FD" w:rsidRDefault="00134157"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 xml:space="preserve">UL: </w:t>
            </w:r>
            <w:r w:rsidR="00E1779D" w:rsidRPr="00FF75FD">
              <w:rPr>
                <w:sz w:val="20"/>
                <w:szCs w:val="20"/>
              </w:rPr>
              <w:t xml:space="preserve">50 </w:t>
            </w:r>
            <w:r w:rsidRPr="00FF75FD">
              <w:rPr>
                <w:sz w:val="20"/>
                <w:szCs w:val="20"/>
              </w:rPr>
              <w:t>Mbit/s</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Urban</w:t>
            </w:r>
          </w:p>
          <w:p w:rsidR="00E1779D" w:rsidRPr="00FF75FD" w:rsidRDefault="00134157"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DL: 50 Mbit/s</w:t>
            </w:r>
          </w:p>
          <w:p w:rsidR="00E1779D" w:rsidRPr="00FF75FD" w:rsidRDefault="00134157"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UL: 25 Mbit/s</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Rural</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 xml:space="preserve">DL: </w:t>
            </w:r>
            <w:r w:rsidR="00134157" w:rsidRPr="00FF75FD">
              <w:rPr>
                <w:sz w:val="20"/>
                <w:szCs w:val="20"/>
              </w:rPr>
              <w:t>50 Mbit/s</w:t>
            </w:r>
          </w:p>
          <w:p w:rsidR="00E1779D" w:rsidRPr="00FF75FD" w:rsidRDefault="00134157"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UL: 25 Mbit/s</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High speed</w:t>
            </w:r>
          </w:p>
          <w:p w:rsidR="00E1779D" w:rsidRPr="00FF75FD" w:rsidRDefault="00134157"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DL: 50 Mbit/s</w:t>
            </w:r>
          </w:p>
          <w:p w:rsidR="00E1779D" w:rsidRPr="00FF75FD" w:rsidRDefault="00134157"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 xml:space="preserve">UL: </w:t>
            </w:r>
            <w:r w:rsidR="00E1779D" w:rsidRPr="00FF75FD">
              <w:rPr>
                <w:sz w:val="20"/>
                <w:szCs w:val="20"/>
              </w:rPr>
              <w:t>25 Mbit/s</w:t>
            </w:r>
          </w:p>
        </w:tc>
        <w:tc>
          <w:tcPr>
            <w:tcW w:w="1985"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System-level simulation (FTP traffic)</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 xml:space="preserve"> </w:t>
            </w:r>
            <w:r w:rsidRPr="00FF75FD">
              <w:rPr>
                <w:sz w:val="20"/>
                <w:szCs w:val="20"/>
              </w:rPr>
              <w:br/>
            </w:r>
          </w:p>
        </w:tc>
        <w:tc>
          <w:tcPr>
            <w:tcW w:w="4111"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This KPI needs to be achieved at the target area traffic capacity for each relevant deployment scenario.</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The definition of a burst depends on the traffic model and is FFS.</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The requirements derived from the NGMN white paper may be revised after a careful review of assumptions on connection density and available bandwidth.</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b w:val="0"/>
                <w:sz w:val="20"/>
                <w:szCs w:val="20"/>
              </w:rPr>
            </w:pPr>
            <w:r w:rsidRPr="00FF75FD">
              <w:rPr>
                <w:b w:val="0"/>
                <w:sz w:val="20"/>
                <w:szCs w:val="20"/>
              </w:rPr>
              <w:t>5</w:t>
            </w:r>
            <w:r w:rsidRPr="00FF75FD">
              <w:rPr>
                <w:b w:val="0"/>
                <w:sz w:val="20"/>
                <w:szCs w:val="20"/>
                <w:vertAlign w:val="superscript"/>
              </w:rPr>
              <w:t>th</w:t>
            </w:r>
            <w:r w:rsidRPr="00FF75FD">
              <w:rPr>
                <w:b w:val="0"/>
                <w:sz w:val="20"/>
                <w:szCs w:val="20"/>
              </w:rPr>
              <w:t xml:space="preserve"> percentile user spectrum efficiency</w:t>
            </w:r>
          </w:p>
          <w:p w:rsidR="00E1779D" w:rsidRPr="00FF75FD" w:rsidRDefault="00E1779D" w:rsidP="00B71254">
            <w:pPr>
              <w:rPr>
                <w:sz w:val="18"/>
                <w:szCs w:val="18"/>
              </w:rPr>
            </w:pPr>
          </w:p>
        </w:tc>
        <w:tc>
          <w:tcPr>
            <w:tcW w:w="4819"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20"/>
                <w:szCs w:val="20"/>
              </w:rPr>
              <w:t xml:space="preserve">The cell edge user spectral efficiency is defined as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w:t>
            </w:r>
            <w:r w:rsidRPr="00FF75FD">
              <w:rPr>
                <w:sz w:val="20"/>
                <w:szCs w:val="20"/>
              </w:rPr>
              <w:lastRenderedPageBreak/>
              <w:t xml:space="preserve">effective bandwidth is the operating bandwidth normalised appropriately considering the uplink/downlink ratio. </w:t>
            </w:r>
          </w:p>
        </w:tc>
        <w:tc>
          <w:tcPr>
            <w:tcW w:w="1559"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lastRenderedPageBreak/>
              <w:t>TBD</w:t>
            </w:r>
          </w:p>
        </w:tc>
        <w:tc>
          <w:tcPr>
            <w:tcW w:w="1985"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System-level simulation (full buffer)</w:t>
            </w:r>
          </w:p>
        </w:tc>
        <w:tc>
          <w:tcPr>
            <w:tcW w:w="4111" w:type="dxa"/>
          </w:tcPr>
          <w:p w:rsidR="00E1779D" w:rsidRPr="00FF75FD" w:rsidRDefault="00E1779D" w:rsidP="00B7125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This KPI was previously called user experienced spectrum efficiency in (reference LS  to RAN #70).</w:t>
            </w:r>
          </w:p>
          <w:p w:rsidR="00E1779D" w:rsidRPr="00FF75FD" w:rsidRDefault="00E1779D" w:rsidP="00B7125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Assessment for multi-layer and multi-band is FFS.</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How to evaluate outdoor and indoor users independently needs to be considered.</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 xml:space="preserve">NGMN white paper targets significant </w:t>
            </w:r>
            <w:r w:rsidRPr="00FF75FD">
              <w:rPr>
                <w:sz w:val="20"/>
                <w:szCs w:val="20"/>
              </w:rPr>
              <w:lastRenderedPageBreak/>
              <w:t>improvements in spectrum efficiency.</w:t>
            </w:r>
          </w:p>
        </w:tc>
      </w:tr>
      <w:tr w:rsidR="00E1779D"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18"/>
                <w:szCs w:val="18"/>
              </w:rPr>
            </w:pPr>
            <w:r w:rsidRPr="00FF75FD">
              <w:rPr>
                <w:b w:val="0"/>
                <w:sz w:val="20"/>
                <w:szCs w:val="20"/>
              </w:rPr>
              <w:lastRenderedPageBreak/>
              <w:t>Connection density</w:t>
            </w:r>
          </w:p>
        </w:tc>
        <w:tc>
          <w:tcPr>
            <w:tcW w:w="4819"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20"/>
                <w:szCs w:val="20"/>
              </w:rPr>
              <w:t>Total number of devices fulfilling specific QoS per unit area (per km</w:t>
            </w:r>
            <w:r w:rsidRPr="00FF75FD">
              <w:rPr>
                <w:sz w:val="20"/>
                <w:szCs w:val="20"/>
                <w:vertAlign w:val="superscript"/>
              </w:rPr>
              <w:t>2</w:t>
            </w:r>
            <w:r w:rsidRPr="00FF75FD">
              <w:rPr>
                <w:sz w:val="20"/>
                <w:szCs w:val="20"/>
              </w:rPr>
              <w:t>).</w:t>
            </w:r>
          </w:p>
        </w:tc>
        <w:tc>
          <w:tcPr>
            <w:tcW w:w="1559"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1e6 devices/km</w:t>
            </w:r>
            <w:r w:rsidRPr="00FF75FD">
              <w:rPr>
                <w:sz w:val="20"/>
                <w:szCs w:val="20"/>
                <w:vertAlign w:val="superscript"/>
              </w:rPr>
              <w:t>2</w:t>
            </w:r>
            <w:r w:rsidRPr="00FF75FD">
              <w:rPr>
                <w:sz w:val="20"/>
                <w:szCs w:val="20"/>
              </w:rPr>
              <w:t xml:space="preserve"> for mMTC for urban environment</w:t>
            </w:r>
          </w:p>
        </w:tc>
        <w:tc>
          <w:tcPr>
            <w:tcW w:w="1985"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Option 1: Analytical</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Option 2: Simulation</w:t>
            </w:r>
          </w:p>
        </w:tc>
        <w:tc>
          <w:tcPr>
            <w:tcW w:w="4111" w:type="dxa"/>
          </w:tcPr>
          <w:p w:rsidR="00E1779D" w:rsidRPr="00FF75FD" w:rsidRDefault="00E1779D" w:rsidP="00B7125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Foreseen as most relevant for mMTC.</w:t>
            </w:r>
          </w:p>
          <w:p w:rsidR="00E1779D" w:rsidRPr="00FF75FD" w:rsidRDefault="00E1779D" w:rsidP="00B7125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QoS definition should take into account the amount of data generated within a time t_gen that can be sent or received within a given time, t_sendrx,  with x% probability.</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 xml:space="preserve">Note 1: Evaluation environment is FFS </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 xml:space="preserve">Note 2: Report bandwidth used in evaluation. </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vMerge w:val="restart"/>
          </w:tcPr>
          <w:p w:rsidR="00E1779D" w:rsidRPr="00FF75FD" w:rsidRDefault="00E1779D" w:rsidP="00B71254">
            <w:pPr>
              <w:rPr>
                <w:b w:val="0"/>
                <w:sz w:val="20"/>
                <w:szCs w:val="20"/>
              </w:rPr>
            </w:pPr>
            <w:r w:rsidRPr="00FF75FD">
              <w:rPr>
                <w:b w:val="0"/>
                <w:sz w:val="20"/>
                <w:szCs w:val="20"/>
              </w:rPr>
              <w:t>Area traffic capacity</w:t>
            </w:r>
          </w:p>
        </w:tc>
        <w:tc>
          <w:tcPr>
            <w:tcW w:w="4819" w:type="dxa"/>
          </w:tcPr>
          <w:p w:rsidR="00E1779D" w:rsidRPr="00FF75FD" w:rsidRDefault="00E1779D" w:rsidP="00B7125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Full buffer:</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Total traffic throughput served per geographic area (in Mbit/s/m</w:t>
            </w:r>
            <w:r w:rsidRPr="00FF75FD">
              <w:rPr>
                <w:sz w:val="20"/>
                <w:szCs w:val="20"/>
                <w:vertAlign w:val="superscript"/>
              </w:rPr>
              <w:t>2</w:t>
            </w:r>
            <w:r w:rsidRPr="00FF75FD">
              <w:rPr>
                <w:sz w:val="20"/>
                <w:szCs w:val="20"/>
              </w:rPr>
              <w:t>). The computation of this metric is based on full buffer traffic.</w:t>
            </w:r>
          </w:p>
        </w:tc>
        <w:tc>
          <w:tcPr>
            <w:tcW w:w="1559"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p>
        </w:tc>
        <w:tc>
          <w:tcPr>
            <w:tcW w:w="1985"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lang w:eastAsia="zh-CN"/>
              </w:rPr>
            </w:pPr>
            <w:r w:rsidRPr="00FF75FD">
              <w:rPr>
                <w:sz w:val="20"/>
                <w:szCs w:val="20"/>
              </w:rPr>
              <w:t>Analytical</w:t>
            </w:r>
          </w:p>
        </w:tc>
        <w:tc>
          <w:tcPr>
            <w:tcW w:w="4111"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p>
        </w:tc>
      </w:tr>
      <w:tr w:rsidR="00E1779D"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vMerge/>
          </w:tcPr>
          <w:p w:rsidR="00E1779D" w:rsidRPr="00FF75FD" w:rsidRDefault="00E1779D" w:rsidP="00B71254">
            <w:pPr>
              <w:rPr>
                <w:b w:val="0"/>
                <w:sz w:val="20"/>
                <w:szCs w:val="20"/>
              </w:rPr>
            </w:pPr>
          </w:p>
        </w:tc>
        <w:tc>
          <w:tcPr>
            <w:tcW w:w="4819"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Non full buffer:</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Total traffic throughput served per geographic area (in Mbit/s/m</w:t>
            </w:r>
            <w:r w:rsidRPr="00FF75FD">
              <w:rPr>
                <w:sz w:val="20"/>
                <w:szCs w:val="20"/>
                <w:vertAlign w:val="superscript"/>
              </w:rPr>
              <w:t>2</w:t>
            </w:r>
            <w:r w:rsidRPr="00FF75FD">
              <w:rPr>
                <w:sz w:val="20"/>
                <w:szCs w:val="20"/>
              </w:rPr>
              <w:t>). Both the user experienced data rate and the area traffic capacity need to be evaluated at the same time using the same traffic model.</w:t>
            </w:r>
          </w:p>
        </w:tc>
        <w:tc>
          <w:tcPr>
            <w:tcW w:w="1559"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p>
        </w:tc>
        <w:tc>
          <w:tcPr>
            <w:tcW w:w="1985"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System level simulations (FTP traffic)</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lang w:eastAsia="zh-CN"/>
              </w:rPr>
            </w:pPr>
          </w:p>
        </w:tc>
        <w:tc>
          <w:tcPr>
            <w:tcW w:w="4111" w:type="dxa"/>
          </w:tcPr>
          <w:p w:rsidR="00E1779D" w:rsidRPr="00FF75FD" w:rsidRDefault="00E1779D" w:rsidP="00B71254">
            <w:pPr>
              <w:keepNext/>
              <w:keepLines/>
              <w:spacing w:before="480" w:after="200" w:line="276" w:lineRule="auto"/>
              <w:outlineLvl w:val="0"/>
              <w:cnfStyle w:val="000000010000" w:firstRow="0" w:lastRow="0" w:firstColumn="0" w:lastColumn="0" w:oddVBand="0" w:evenVBand="0" w:oddHBand="0" w:evenHBand="1" w:firstRowFirstColumn="0" w:firstRowLastColumn="0" w:lastRowFirstColumn="0" w:lastRowLastColumn="0"/>
              <w:rPr>
                <w:rFonts w:eastAsia="MS Mincho"/>
                <w:sz w:val="20"/>
                <w:szCs w:val="20"/>
              </w:rPr>
            </w:pPr>
            <w:r w:rsidRPr="00FF75FD">
              <w:rPr>
                <w:sz w:val="20"/>
                <w:szCs w:val="20"/>
              </w:rPr>
              <w:t>This KPI is used to derive the burst arrival rate for the FTP simulations</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18"/>
                <w:szCs w:val="18"/>
              </w:rPr>
            </w:pPr>
            <w:r w:rsidRPr="00FF75FD">
              <w:rPr>
                <w:b w:val="0"/>
                <w:sz w:val="20"/>
                <w:szCs w:val="20"/>
              </w:rPr>
              <w:t>Mobility</w:t>
            </w:r>
          </w:p>
        </w:tc>
        <w:tc>
          <w:tcPr>
            <w:tcW w:w="4819"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20"/>
                <w:szCs w:val="20"/>
              </w:rPr>
              <w:t>Maximum user speed at which a defined QoS can be achieved (in km/h).</w:t>
            </w:r>
          </w:p>
        </w:tc>
        <w:tc>
          <w:tcPr>
            <w:tcW w:w="1559"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500 km/h</w:t>
            </w:r>
          </w:p>
        </w:tc>
        <w:tc>
          <w:tcPr>
            <w:tcW w:w="1985"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lang w:eastAsia="zh-CN"/>
              </w:rPr>
            </w:pPr>
            <w:r w:rsidRPr="00FF75FD">
              <w:rPr>
                <w:rFonts w:hint="eastAsia"/>
                <w:sz w:val="20"/>
                <w:szCs w:val="20"/>
              </w:rPr>
              <w:t>Simulation</w:t>
            </w:r>
            <w:r w:rsidRPr="00FF75FD">
              <w:rPr>
                <w:sz w:val="20"/>
                <w:szCs w:val="20"/>
              </w:rPr>
              <w:t xml:space="preserve"> (link and system level)</w:t>
            </w:r>
          </w:p>
        </w:tc>
        <w:tc>
          <w:tcPr>
            <w:tcW w:w="4111"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Mobility classes and QoS will be defined for each scenario.</w:t>
            </w:r>
          </w:p>
        </w:tc>
      </w:tr>
      <w:tr w:rsidR="00E1779D"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18"/>
                <w:szCs w:val="18"/>
              </w:rPr>
            </w:pPr>
            <w:r w:rsidRPr="00FF75FD">
              <w:rPr>
                <w:b w:val="0"/>
                <w:sz w:val="20"/>
                <w:szCs w:val="20"/>
              </w:rPr>
              <w:t>Reliability</w:t>
            </w:r>
          </w:p>
        </w:tc>
        <w:tc>
          <w:tcPr>
            <w:tcW w:w="4819"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20"/>
                <w:szCs w:val="20"/>
              </w:rPr>
              <w:t>The success probability of transmitting a layer 2/3 packet of [x bytes] within a maximum time of [t ms], which is the time it takes to deliver a small data packet from the radio protocol layer 2/3 SDU ingress point to the radio protocol layer 2/3 SDU egress point of the radio interface at a certain channel quality.</w:t>
            </w:r>
          </w:p>
        </w:tc>
        <w:tc>
          <w:tcPr>
            <w:tcW w:w="1559"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TBD</w:t>
            </w:r>
          </w:p>
        </w:tc>
        <w:tc>
          <w:tcPr>
            <w:tcW w:w="1985"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Link-level simulation</w:t>
            </w:r>
          </w:p>
        </w:tc>
        <w:tc>
          <w:tcPr>
            <w:tcW w:w="4111" w:type="dxa"/>
            <w:shd w:val="clear" w:color="auto" w:fill="auto"/>
          </w:tcPr>
          <w:p w:rsidR="00E1779D" w:rsidRPr="00FF75FD" w:rsidRDefault="00E1779D" w:rsidP="00B7125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 xml:space="preserve">Foreseen as </w:t>
            </w:r>
            <w:r w:rsidRPr="00FF75FD">
              <w:rPr>
                <w:sz w:val="20"/>
                <w:szCs w:val="20"/>
                <w:lang w:eastAsia="zh-CN"/>
              </w:rPr>
              <w:t xml:space="preserve">most </w:t>
            </w:r>
            <w:r w:rsidRPr="00FF75FD">
              <w:rPr>
                <w:sz w:val="20"/>
                <w:szCs w:val="20"/>
              </w:rPr>
              <w:t>relevant for URLLC.</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If channel access is not granted, the reliability and delay of that should be taken into account.</w:t>
            </w:r>
          </w:p>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 xml:space="preserve">The channel quality target and its variation characteristics need to be defined, including the relevant channel model. Mobility aspects </w:t>
            </w:r>
            <w:r w:rsidRPr="00FF75FD">
              <w:rPr>
                <w:sz w:val="20"/>
                <w:szCs w:val="20"/>
              </w:rPr>
              <w:lastRenderedPageBreak/>
              <w:t>can be treated as part of the channel quality to be targeted.</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20"/>
                <w:szCs w:val="20"/>
              </w:rPr>
            </w:pPr>
            <w:r w:rsidRPr="00FF75FD">
              <w:rPr>
                <w:b w:val="0"/>
                <w:sz w:val="20"/>
                <w:szCs w:val="20"/>
              </w:rPr>
              <w:lastRenderedPageBreak/>
              <w:t>Device battery life</w:t>
            </w:r>
          </w:p>
        </w:tc>
        <w:tc>
          <w:tcPr>
            <w:tcW w:w="4819"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rFonts w:cs="Arial"/>
              </w:rPr>
            </w:pPr>
            <w:r w:rsidRPr="00FF75FD">
              <w:rPr>
                <w:sz w:val="20"/>
              </w:rPr>
              <w:t xml:space="preserve">The battery life of the device without recharge. </w:t>
            </w:r>
            <w:r w:rsidRPr="00FF75FD">
              <w:rPr>
                <w:sz w:val="20"/>
                <w:szCs w:val="20"/>
              </w:rPr>
              <w:t>For at least mMTC, device battery life in extreme coverage shall be based on the activity of mobile originated data transfer consisting of [200 bytes] UL per day followed by [20 bytes] DL from maximum coupling loss of [164 dB], assuming a stored energy capacity of [5Wh].</w:t>
            </w:r>
          </w:p>
        </w:tc>
        <w:tc>
          <w:tcPr>
            <w:tcW w:w="1559"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[15 years]</w:t>
            </w:r>
          </w:p>
        </w:tc>
        <w:tc>
          <w:tcPr>
            <w:tcW w:w="1985"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Link-level simulation (Reuse TR 45.820)</w:t>
            </w:r>
          </w:p>
        </w:tc>
        <w:tc>
          <w:tcPr>
            <w:tcW w:w="4111" w:type="dxa"/>
            <w:shd w:val="clear" w:color="auto" w:fill="EAF1DD" w:themeFill="accent3" w:themeFillTint="33"/>
          </w:tcPr>
          <w:p w:rsidR="00E1779D" w:rsidRPr="00FF75FD" w:rsidRDefault="00E1779D" w:rsidP="00B71254">
            <w:pPr>
              <w:spacing w:line="276" w:lineRule="auto"/>
              <w:cnfStyle w:val="000000100000" w:firstRow="0" w:lastRow="0" w:firstColumn="0" w:lastColumn="0" w:oddVBand="0" w:evenVBand="0" w:oddHBand="1" w:evenHBand="0" w:firstRowFirstColumn="0" w:firstRowLastColumn="0" w:lastRowFirstColumn="0" w:lastRowLastColumn="0"/>
              <w:rPr>
                <w:sz w:val="20"/>
                <w:szCs w:val="20"/>
                <w:lang w:eastAsia="zh-CN"/>
              </w:rPr>
            </w:pPr>
            <w:r w:rsidRPr="00FF75FD">
              <w:rPr>
                <w:sz w:val="20"/>
                <w:szCs w:val="20"/>
                <w:lang w:eastAsia="zh-CN"/>
              </w:rPr>
              <w:t>Battery life KPI definition of other terminal types than mMTC is FFS.</w:t>
            </w:r>
          </w:p>
          <w:p w:rsidR="00E1779D" w:rsidRPr="00FF75FD" w:rsidRDefault="00E1779D" w:rsidP="00B71254">
            <w:pPr>
              <w:spacing w:line="276" w:lineRule="auto"/>
              <w:cnfStyle w:val="000000100000" w:firstRow="0" w:lastRow="0" w:firstColumn="0" w:lastColumn="0" w:oddVBand="0" w:evenVBand="0" w:oddHBand="1" w:evenHBand="0" w:firstRowFirstColumn="0" w:firstRowLastColumn="0" w:lastRowFirstColumn="0" w:lastRowLastColumn="0"/>
              <w:rPr>
                <w:sz w:val="20"/>
                <w:szCs w:val="20"/>
                <w:lang w:eastAsia="zh-CN"/>
              </w:rPr>
            </w:pPr>
            <w:r w:rsidRPr="00FF75FD">
              <w:t>The battery life extension should not be achieved by a relaxation of any of the key parameters - and their corresponding values - indicated in the definition.</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pPr>
            <w:r w:rsidRPr="00FF75FD">
              <w:t>NGMN white paper targets device battery life of up to 15 years. 3GPP should investigate the feasible operating boundaries (data activity, coupling loss, etc.) under which such a device battery life target could be reached.</w:t>
            </w:r>
          </w:p>
        </w:tc>
      </w:tr>
      <w:tr w:rsidR="00E1779D"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sz w:val="20"/>
                <w:szCs w:val="20"/>
              </w:rPr>
            </w:pPr>
            <w:r w:rsidRPr="00FF75FD">
              <w:rPr>
                <w:b w:val="0"/>
                <w:sz w:val="20"/>
                <w:szCs w:val="20"/>
              </w:rPr>
              <w:t>Extreme Coverage</w:t>
            </w:r>
          </w:p>
        </w:tc>
        <w:tc>
          <w:tcPr>
            <w:tcW w:w="4819"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rPr>
              <w:t>“Maximum coupling loss” in uplink and downlink between device and Base Station site (antenna connector(s)) for a data rate of [160bps], where the data rate is observed at the egress/ingress point of the radio protocol stack in uplink and downlink.</w:t>
            </w:r>
          </w:p>
        </w:tc>
        <w:tc>
          <w:tcPr>
            <w:tcW w:w="1559"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[164 dB]</w:t>
            </w:r>
          </w:p>
        </w:tc>
        <w:tc>
          <w:tcPr>
            <w:tcW w:w="1985" w:type="dxa"/>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Link-level simulation (Reuse TR 45.820)</w:t>
            </w:r>
          </w:p>
        </w:tc>
        <w:tc>
          <w:tcPr>
            <w:tcW w:w="4111" w:type="dxa"/>
            <w:shd w:val="clear" w:color="auto" w:fill="auto"/>
          </w:tcPr>
          <w:p w:rsidR="00E1779D" w:rsidRPr="00FF75FD" w:rsidRDefault="00E1779D" w:rsidP="00B71254">
            <w:pPr>
              <w:cnfStyle w:val="000000010000" w:firstRow="0" w:lastRow="0" w:firstColumn="0" w:lastColumn="0" w:oddVBand="0" w:evenVBand="0" w:oddHBand="0" w:evenHBand="1" w:firstRowFirstColumn="0" w:firstRowLastColumn="0" w:lastRowFirstColumn="0" w:lastRowLastColumn="0"/>
              <w:rPr>
                <w:sz w:val="20"/>
                <w:szCs w:val="20"/>
              </w:rPr>
            </w:pPr>
            <w:r w:rsidRPr="00FF75FD">
              <w:rPr>
                <w:sz w:val="20"/>
                <w:szCs w:val="20"/>
              </w:rPr>
              <w:t>Foreseen as most relevant for mMTC.</w:t>
            </w:r>
          </w:p>
        </w:tc>
      </w:tr>
      <w:tr w:rsidR="00E1779D"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1779D" w:rsidRPr="00FF75FD" w:rsidRDefault="00E1779D" w:rsidP="00B71254">
            <w:pPr>
              <w:rPr>
                <w:b w:val="0"/>
                <w:sz w:val="20"/>
                <w:szCs w:val="20"/>
              </w:rPr>
            </w:pPr>
            <w:r w:rsidRPr="00FF75FD">
              <w:rPr>
                <w:b w:val="0"/>
                <w:sz w:val="20"/>
                <w:szCs w:val="20"/>
              </w:rPr>
              <w:t>UE energy efficiency</w:t>
            </w:r>
          </w:p>
        </w:tc>
        <w:tc>
          <w:tcPr>
            <w:tcW w:w="4819"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rPr>
            </w:pPr>
            <w:r w:rsidRPr="00FF75FD">
              <w:rPr>
                <w:sz w:val="20"/>
              </w:rPr>
              <w:t>The capability of a UE to reduce UE modem energy consumption while sustaining better performance (e.g., mobile broadband data rate).</w:t>
            </w:r>
          </w:p>
        </w:tc>
        <w:tc>
          <w:tcPr>
            <w:tcW w:w="1559"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Significant enhancement compared to LTE</w:t>
            </w:r>
          </w:p>
        </w:tc>
        <w:tc>
          <w:tcPr>
            <w:tcW w:w="1985" w:type="dxa"/>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Inspection</w:t>
            </w:r>
          </w:p>
        </w:tc>
        <w:tc>
          <w:tcPr>
            <w:tcW w:w="4111" w:type="dxa"/>
            <w:shd w:val="clear" w:color="auto" w:fill="EAF1DD" w:themeFill="accent3" w:themeFillTint="33"/>
          </w:tcPr>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r w:rsidRPr="00FF75FD">
              <w:rPr>
                <w:sz w:val="20"/>
                <w:szCs w:val="20"/>
              </w:rPr>
              <w:t>Foreseen as most relevant for eMBB.</w:t>
            </w:r>
          </w:p>
          <w:p w:rsidR="00E1779D" w:rsidRPr="00FF75FD" w:rsidRDefault="00E1779D" w:rsidP="00B71254">
            <w:pPr>
              <w:cnfStyle w:val="000000100000" w:firstRow="0" w:lastRow="0" w:firstColumn="0" w:lastColumn="0" w:oddVBand="0" w:evenVBand="0" w:oddHBand="1" w:evenHBand="0" w:firstRowFirstColumn="0" w:firstRowLastColumn="0" w:lastRowFirstColumn="0" w:lastRowLastColumn="0"/>
              <w:rPr>
                <w:sz w:val="20"/>
                <w:szCs w:val="20"/>
              </w:rPr>
            </w:pPr>
          </w:p>
        </w:tc>
      </w:tr>
    </w:tbl>
    <w:p w:rsidR="00A54DF6" w:rsidRPr="00FF75FD" w:rsidRDefault="00A54DF6">
      <w:r w:rsidRPr="00FF75FD">
        <w:br w:type="page"/>
      </w:r>
    </w:p>
    <w:p w:rsidR="00A710FE" w:rsidRPr="00FF75FD" w:rsidRDefault="00A710FE" w:rsidP="00AF2035">
      <w:pPr>
        <w:pStyle w:val="berschrift1"/>
      </w:pPr>
      <w:r w:rsidRPr="00FF75FD">
        <w:lastRenderedPageBreak/>
        <w:t>Deployment scenarios</w:t>
      </w:r>
      <w:r w:rsidR="00BC4994" w:rsidRPr="00FF75FD">
        <w:t xml:space="preserve"> – key challenges and evaluation goals</w:t>
      </w:r>
    </w:p>
    <w:p w:rsidR="00A710FE" w:rsidRPr="00FF75FD" w:rsidRDefault="00A710FE" w:rsidP="00A710FE">
      <w:pPr>
        <w:pStyle w:val="Beschriftung"/>
        <w:keepNext/>
        <w:jc w:val="center"/>
        <w:rPr>
          <w:sz w:val="20"/>
          <w:szCs w:val="20"/>
        </w:rPr>
      </w:pPr>
      <w:r w:rsidRPr="00FF75FD">
        <w:rPr>
          <w:sz w:val="20"/>
          <w:szCs w:val="20"/>
        </w:rPr>
        <w:t xml:space="preserve">Table </w:t>
      </w:r>
      <w:r w:rsidR="00B81428" w:rsidRPr="00FF75FD">
        <w:rPr>
          <w:sz w:val="20"/>
          <w:szCs w:val="20"/>
        </w:rPr>
        <w:fldChar w:fldCharType="begin"/>
      </w:r>
      <w:r w:rsidRPr="00FF75FD">
        <w:rPr>
          <w:sz w:val="20"/>
          <w:szCs w:val="20"/>
        </w:rPr>
        <w:instrText xml:space="preserve"> SEQ Table \* ARABIC </w:instrText>
      </w:r>
      <w:r w:rsidR="00B81428" w:rsidRPr="00FF75FD">
        <w:rPr>
          <w:sz w:val="20"/>
          <w:szCs w:val="20"/>
        </w:rPr>
        <w:fldChar w:fldCharType="separate"/>
      </w:r>
      <w:r w:rsidR="00970A92" w:rsidRPr="00FF75FD">
        <w:rPr>
          <w:noProof/>
          <w:sz w:val="20"/>
          <w:szCs w:val="20"/>
        </w:rPr>
        <w:t>3</w:t>
      </w:r>
      <w:r w:rsidR="00B81428" w:rsidRPr="00FF75FD">
        <w:rPr>
          <w:sz w:val="20"/>
          <w:szCs w:val="20"/>
        </w:rPr>
        <w:fldChar w:fldCharType="end"/>
      </w:r>
      <w:r w:rsidRPr="00FF75FD">
        <w:rPr>
          <w:sz w:val="20"/>
          <w:szCs w:val="20"/>
        </w:rPr>
        <w:t>: Deployment scenarios with associated key challenges and evaluation goals</w:t>
      </w:r>
    </w:p>
    <w:tbl>
      <w:tblPr>
        <w:tblStyle w:val="HellesRaster-Akzent3"/>
        <w:tblW w:w="14601" w:type="dxa"/>
        <w:tblInd w:w="-743" w:type="dxa"/>
        <w:tblLayout w:type="fixed"/>
        <w:tblLook w:val="04A0" w:firstRow="1" w:lastRow="0" w:firstColumn="1" w:lastColumn="0" w:noHBand="0" w:noVBand="1"/>
      </w:tblPr>
      <w:tblGrid>
        <w:gridCol w:w="1135"/>
        <w:gridCol w:w="1417"/>
        <w:gridCol w:w="2410"/>
        <w:gridCol w:w="2410"/>
        <w:gridCol w:w="3827"/>
        <w:gridCol w:w="3402"/>
      </w:tblGrid>
      <w:tr w:rsidR="00A710FE" w:rsidRPr="00FF75FD" w:rsidTr="00B712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dxa"/>
          </w:tcPr>
          <w:p w:rsidR="00A710FE" w:rsidRPr="00FF75FD" w:rsidRDefault="00A710FE" w:rsidP="00B71254">
            <w:pPr>
              <w:rPr>
                <w:sz w:val="20"/>
                <w:szCs w:val="20"/>
              </w:rPr>
            </w:pPr>
            <w:r w:rsidRPr="00FF75FD">
              <w:rPr>
                <w:sz w:val="20"/>
                <w:szCs w:val="20"/>
              </w:rPr>
              <w:t>Usage scenario</w:t>
            </w:r>
          </w:p>
        </w:tc>
        <w:tc>
          <w:tcPr>
            <w:tcW w:w="1417" w:type="dxa"/>
          </w:tcPr>
          <w:p w:rsidR="00A710FE" w:rsidRPr="00FF75FD" w:rsidRDefault="00A710FE"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Deployment scenario</w:t>
            </w:r>
          </w:p>
        </w:tc>
        <w:tc>
          <w:tcPr>
            <w:tcW w:w="2410" w:type="dxa"/>
          </w:tcPr>
          <w:p w:rsidR="00A710FE" w:rsidRPr="00FF75FD" w:rsidRDefault="00A710FE"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Key challenges</w:t>
            </w:r>
          </w:p>
        </w:tc>
        <w:tc>
          <w:tcPr>
            <w:tcW w:w="2410" w:type="dxa"/>
          </w:tcPr>
          <w:p w:rsidR="00A710FE" w:rsidRPr="00FF75FD" w:rsidRDefault="00A710FE"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Most relevant KPIs</w:t>
            </w:r>
          </w:p>
        </w:tc>
        <w:tc>
          <w:tcPr>
            <w:tcW w:w="3827" w:type="dxa"/>
          </w:tcPr>
          <w:p w:rsidR="00A710FE" w:rsidRPr="00FF75FD" w:rsidRDefault="00A710FE"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Evaluation goals</w:t>
            </w:r>
          </w:p>
        </w:tc>
        <w:tc>
          <w:tcPr>
            <w:tcW w:w="3402" w:type="dxa"/>
          </w:tcPr>
          <w:p w:rsidR="00A710FE" w:rsidRPr="00FF75FD" w:rsidRDefault="00A710FE"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Remarks</w:t>
            </w:r>
          </w:p>
        </w:tc>
      </w:tr>
      <w:tr w:rsidR="00A710FE"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dxa"/>
            <w:vMerge w:val="restart"/>
          </w:tcPr>
          <w:p w:rsidR="00A710FE" w:rsidRPr="00FF75FD" w:rsidRDefault="00A710FE" w:rsidP="00B71254">
            <w:pPr>
              <w:rPr>
                <w:b w:val="0"/>
                <w:sz w:val="20"/>
                <w:szCs w:val="20"/>
              </w:rPr>
            </w:pPr>
            <w:r w:rsidRPr="00FF75FD">
              <w:rPr>
                <w:b w:val="0"/>
                <w:sz w:val="20"/>
                <w:szCs w:val="20"/>
              </w:rPr>
              <w:t>eMBB</w:t>
            </w:r>
          </w:p>
        </w:tc>
        <w:tc>
          <w:tcPr>
            <w:tcW w:w="1417" w:type="dxa"/>
          </w:tcPr>
          <w:p w:rsidR="00A710FE" w:rsidRPr="00FF75FD" w:rsidRDefault="00A710FE"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Indoor hotspot (eMBB-InH)</w:t>
            </w:r>
          </w:p>
        </w:tc>
        <w:tc>
          <w:tcPr>
            <w:tcW w:w="2410" w:type="dxa"/>
          </w:tcPr>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high capacity </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high density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consistent user experience</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poor cell isolation</w:t>
            </w:r>
          </w:p>
        </w:tc>
        <w:tc>
          <w:tcPr>
            <w:tcW w:w="2410" w:type="dxa"/>
          </w:tcPr>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TRP spectrum efficiency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5</w:t>
            </w:r>
            <w:r w:rsidRPr="00FF75FD">
              <w:rPr>
                <w:sz w:val="18"/>
                <w:szCs w:val="18"/>
                <w:vertAlign w:val="superscript"/>
              </w:rPr>
              <w:t>th</w:t>
            </w:r>
            <w:r w:rsidRPr="00FF75FD">
              <w:rPr>
                <w:sz w:val="18"/>
                <w:szCs w:val="18"/>
              </w:rPr>
              <w:t xml:space="preserve"> percentile user spectrum efficiency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user experienced data rate</w:t>
            </w:r>
          </w:p>
        </w:tc>
        <w:tc>
          <w:tcPr>
            <w:tcW w:w="3827" w:type="dxa"/>
          </w:tcPr>
          <w:p w:rsidR="00A710FE" w:rsidRPr="00FF75FD" w:rsidRDefault="00A710FE" w:rsidP="00B71254">
            <w:pPr>
              <w:pStyle w:val="Listenabsatz"/>
              <w:numPr>
                <w:ilvl w:val="0"/>
                <w:numId w:val="24"/>
              </w:numPr>
              <w:ind w:left="175" w:hanging="141"/>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Show that high frequency bands can be used indoor.</w:t>
            </w:r>
          </w:p>
        </w:tc>
        <w:tc>
          <w:tcPr>
            <w:tcW w:w="3402" w:type="dxa"/>
          </w:tcPr>
          <w:p w:rsidR="00A710FE" w:rsidRPr="00FF75FD" w:rsidRDefault="00A710FE"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Candidate scenario for system level evaluations.</w:t>
            </w:r>
          </w:p>
        </w:tc>
      </w:tr>
      <w:tr w:rsidR="00A710FE"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dxa"/>
            <w:vMerge/>
          </w:tcPr>
          <w:p w:rsidR="00A710FE" w:rsidRPr="00FF75FD" w:rsidRDefault="00A710FE" w:rsidP="00B71254"/>
        </w:tc>
        <w:tc>
          <w:tcPr>
            <w:tcW w:w="1417" w:type="dxa"/>
          </w:tcPr>
          <w:p w:rsidR="00A710FE" w:rsidRPr="00FF75FD" w:rsidRDefault="00A710FE"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Dense urban (eMBB-UMx)</w:t>
            </w:r>
          </w:p>
        </w:tc>
        <w:tc>
          <w:tcPr>
            <w:tcW w:w="2410" w:type="dxa"/>
          </w:tcPr>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high capacity</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high density</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consistent user experience</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poor cell isolation</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users distributed in height</w:t>
            </w:r>
          </w:p>
        </w:tc>
        <w:tc>
          <w:tcPr>
            <w:tcW w:w="2410" w:type="dxa"/>
          </w:tcPr>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TRP spectrum efficiency</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5</w:t>
            </w:r>
            <w:r w:rsidRPr="00FF75FD">
              <w:rPr>
                <w:sz w:val="18"/>
                <w:szCs w:val="18"/>
                <w:vertAlign w:val="superscript"/>
              </w:rPr>
              <w:t>th</w:t>
            </w:r>
            <w:r w:rsidRPr="00FF75FD">
              <w:rPr>
                <w:sz w:val="18"/>
                <w:szCs w:val="18"/>
              </w:rPr>
              <w:t xml:space="preserve"> percentile user spectrum efficiency</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user experienced data rate</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lang w:eastAsia="zh-CN"/>
              </w:rPr>
              <w:t>[</w:t>
            </w:r>
            <w:r w:rsidRPr="00FF75FD">
              <w:rPr>
                <w:rFonts w:hint="eastAsia"/>
                <w:sz w:val="18"/>
                <w:szCs w:val="18"/>
                <w:lang w:eastAsia="zh-CN"/>
              </w:rPr>
              <w:t>network energy efficiency</w:t>
            </w:r>
            <w:r w:rsidRPr="00FF75FD">
              <w:rPr>
                <w:sz w:val="18"/>
                <w:szCs w:val="18"/>
                <w:lang w:eastAsia="zh-CN"/>
              </w:rPr>
              <w:t>]</w:t>
            </w:r>
          </w:p>
        </w:tc>
        <w:tc>
          <w:tcPr>
            <w:tcW w:w="3827" w:type="dxa"/>
          </w:tcPr>
          <w:p w:rsidR="00A710FE" w:rsidRPr="00FF75FD" w:rsidRDefault="00A710FE" w:rsidP="00B71254">
            <w:pPr>
              <w:pStyle w:val="Listenabsatz"/>
              <w:numPr>
                <w:ilvl w:val="0"/>
                <w:numId w:val="24"/>
              </w:numPr>
              <w:ind w:left="175" w:hanging="141"/>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Clarify the feasibility of different</w:t>
            </w:r>
            <w:r w:rsidRPr="00FF75FD" w:rsidDel="007209CD">
              <w:rPr>
                <w:sz w:val="18"/>
                <w:szCs w:val="18"/>
              </w:rPr>
              <w:t xml:space="preserve"> </w:t>
            </w:r>
            <w:r w:rsidRPr="00FF75FD">
              <w:rPr>
                <w:sz w:val="18"/>
                <w:szCs w:val="18"/>
              </w:rPr>
              <w:t>outdoor deployment options for serving both outdoor and indoor users: macro only or macro and outdoor small cells; considering different spectrum options: low frequency bands only , high frequency bands only or a combination of both high and low frequency bands.</w:t>
            </w:r>
          </w:p>
        </w:tc>
        <w:tc>
          <w:tcPr>
            <w:tcW w:w="3402" w:type="dxa"/>
          </w:tcPr>
          <w:p w:rsidR="00A710FE" w:rsidRPr="00FF75FD" w:rsidRDefault="00A710FE"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Candidate scenario for system-level evaluations.</w:t>
            </w:r>
          </w:p>
        </w:tc>
      </w:tr>
      <w:tr w:rsidR="00A710FE"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dxa"/>
            <w:vMerge/>
          </w:tcPr>
          <w:p w:rsidR="00A710FE" w:rsidRPr="00FF75FD" w:rsidRDefault="00A710FE" w:rsidP="00B71254"/>
        </w:tc>
        <w:tc>
          <w:tcPr>
            <w:tcW w:w="1417" w:type="dxa"/>
          </w:tcPr>
          <w:p w:rsidR="00A710FE" w:rsidRPr="00FF75FD" w:rsidRDefault="00A710FE"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Urban macro (eMBB-UMa)</w:t>
            </w:r>
          </w:p>
        </w:tc>
        <w:tc>
          <w:tcPr>
            <w:tcW w:w="2410" w:type="dxa"/>
          </w:tcPr>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capacity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consistent user experience</w:t>
            </w:r>
          </w:p>
        </w:tc>
        <w:tc>
          <w:tcPr>
            <w:tcW w:w="2410" w:type="dxa"/>
          </w:tcPr>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TRP spectrum efficiency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5</w:t>
            </w:r>
            <w:r w:rsidRPr="00FF75FD">
              <w:rPr>
                <w:sz w:val="18"/>
                <w:szCs w:val="18"/>
                <w:vertAlign w:val="superscript"/>
              </w:rPr>
              <w:t>th</w:t>
            </w:r>
            <w:r w:rsidRPr="00FF75FD">
              <w:rPr>
                <w:sz w:val="18"/>
                <w:szCs w:val="18"/>
              </w:rPr>
              <w:t xml:space="preserve"> percentile user spectrum efficiency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user experienced data rate</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lang w:eastAsia="zh-CN"/>
              </w:rPr>
              <w:t>[</w:t>
            </w:r>
            <w:r w:rsidRPr="00FF75FD">
              <w:rPr>
                <w:rFonts w:hint="eastAsia"/>
                <w:sz w:val="18"/>
                <w:szCs w:val="18"/>
                <w:lang w:eastAsia="zh-CN"/>
              </w:rPr>
              <w:t>network energy efficiency</w:t>
            </w:r>
            <w:r w:rsidRPr="00FF75FD">
              <w:rPr>
                <w:sz w:val="18"/>
                <w:szCs w:val="18"/>
                <w:lang w:eastAsia="zh-CN"/>
              </w:rPr>
              <w:t>]</w:t>
            </w:r>
          </w:p>
        </w:tc>
        <w:tc>
          <w:tcPr>
            <w:tcW w:w="3827" w:type="dxa"/>
          </w:tcPr>
          <w:p w:rsidR="00A710FE" w:rsidRPr="00FF75FD" w:rsidRDefault="00A710FE" w:rsidP="00B71254">
            <w:pPr>
              <w:pStyle w:val="Listenabsatz"/>
              <w:numPr>
                <w:ilvl w:val="0"/>
                <w:numId w:val="24"/>
              </w:numPr>
              <w:ind w:left="175" w:hanging="141"/>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Clarify the feasibility of a macro outdoor deployment considering different spectrum options: low frequency bands only, high frequency bands only or a combination of both high and low frequency bands to serve both outdoor and indoor users.</w:t>
            </w:r>
          </w:p>
        </w:tc>
        <w:tc>
          <w:tcPr>
            <w:tcW w:w="3402" w:type="dxa"/>
          </w:tcPr>
          <w:p w:rsidR="00A710FE" w:rsidRPr="00FF75FD" w:rsidRDefault="00A710FE"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Candidate scenario for system-level evaluations.</w:t>
            </w:r>
          </w:p>
        </w:tc>
      </w:tr>
      <w:tr w:rsidR="00A710FE"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dxa"/>
            <w:vMerge/>
          </w:tcPr>
          <w:p w:rsidR="00A710FE" w:rsidRPr="00FF75FD" w:rsidRDefault="00A710FE" w:rsidP="00B71254"/>
        </w:tc>
        <w:tc>
          <w:tcPr>
            <w:tcW w:w="1417" w:type="dxa"/>
          </w:tcPr>
          <w:p w:rsidR="00A710FE" w:rsidRPr="00FF75FD" w:rsidRDefault="00A710FE"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Rural macro (eMBB-RMa)</w:t>
            </w:r>
          </w:p>
        </w:tc>
        <w:tc>
          <w:tcPr>
            <w:tcW w:w="2410" w:type="dxa"/>
          </w:tcPr>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consistent user experience over wide area</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capacity</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rFonts w:hint="eastAsia"/>
                <w:sz w:val="18"/>
                <w:szCs w:val="18"/>
                <w:lang w:eastAsia="zh-CN"/>
              </w:rPr>
              <w:t>high user mobility</w:t>
            </w:r>
          </w:p>
        </w:tc>
        <w:tc>
          <w:tcPr>
            <w:tcW w:w="2410" w:type="dxa"/>
          </w:tcPr>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TRP spectrum efficiency</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5</w:t>
            </w:r>
            <w:r w:rsidRPr="00FF75FD">
              <w:rPr>
                <w:sz w:val="18"/>
                <w:szCs w:val="18"/>
                <w:vertAlign w:val="superscript"/>
              </w:rPr>
              <w:t>th</w:t>
            </w:r>
            <w:r w:rsidRPr="00FF75FD">
              <w:rPr>
                <w:sz w:val="18"/>
                <w:szCs w:val="18"/>
              </w:rPr>
              <w:t xml:space="preserve"> percentile user spectrum efficiency</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user experienced data rate</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mobility</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lang w:eastAsia="zh-CN"/>
              </w:rPr>
              <w:t>[</w:t>
            </w:r>
            <w:r w:rsidRPr="00FF75FD">
              <w:rPr>
                <w:rFonts w:hint="eastAsia"/>
                <w:sz w:val="18"/>
                <w:szCs w:val="18"/>
                <w:lang w:eastAsia="zh-CN"/>
              </w:rPr>
              <w:t>network energy efficiency</w:t>
            </w:r>
            <w:r w:rsidRPr="00FF75FD">
              <w:rPr>
                <w:sz w:val="18"/>
                <w:szCs w:val="18"/>
                <w:lang w:eastAsia="zh-CN"/>
              </w:rPr>
              <w:t>]</w:t>
            </w:r>
          </w:p>
        </w:tc>
        <w:tc>
          <w:tcPr>
            <w:tcW w:w="3827" w:type="dxa"/>
          </w:tcPr>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Show that low frequency bands can provide wide area coverage.</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Clarify the feasibility of meeting the user experience requirement and the capacity requirement with a reasonable site density.</w:t>
            </w:r>
          </w:p>
        </w:tc>
        <w:tc>
          <w:tcPr>
            <w:tcW w:w="3402" w:type="dxa"/>
          </w:tcPr>
          <w:p w:rsidR="00A710FE" w:rsidRPr="00FF75FD" w:rsidRDefault="00A710FE"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Candidate scenario for system-level evaluations.</w:t>
            </w:r>
          </w:p>
        </w:tc>
      </w:tr>
      <w:tr w:rsidR="00A710FE"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dxa"/>
            <w:vMerge/>
          </w:tcPr>
          <w:p w:rsidR="00A710FE" w:rsidRPr="00FF75FD" w:rsidRDefault="00A710FE" w:rsidP="00B71254"/>
        </w:tc>
        <w:tc>
          <w:tcPr>
            <w:tcW w:w="1417" w:type="dxa"/>
          </w:tcPr>
          <w:p w:rsidR="00A710FE" w:rsidRPr="00FF75FD" w:rsidRDefault="00A710FE"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High speed  train (eMBB-HS)</w:t>
            </w:r>
          </w:p>
        </w:tc>
        <w:tc>
          <w:tcPr>
            <w:tcW w:w="2410" w:type="dxa"/>
          </w:tcPr>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very high speed</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high capacity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high connection density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lastRenderedPageBreak/>
              <w:t xml:space="preserve">consistent user experience </w:t>
            </w:r>
          </w:p>
        </w:tc>
        <w:tc>
          <w:tcPr>
            <w:tcW w:w="2410" w:type="dxa"/>
          </w:tcPr>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lastRenderedPageBreak/>
              <w:t>user experienced data rate</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mobility</w:t>
            </w:r>
          </w:p>
        </w:tc>
        <w:tc>
          <w:tcPr>
            <w:tcW w:w="3827" w:type="dxa"/>
          </w:tcPr>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Show that link performance can be maintained at very high speeds. </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Show the capacity requirement can be met </w:t>
            </w:r>
            <w:r w:rsidRPr="00FF75FD">
              <w:rPr>
                <w:sz w:val="18"/>
                <w:szCs w:val="18"/>
              </w:rPr>
              <w:lastRenderedPageBreak/>
              <w:t>with a reasonable site density.</w:t>
            </w:r>
          </w:p>
        </w:tc>
        <w:tc>
          <w:tcPr>
            <w:tcW w:w="3402" w:type="dxa"/>
          </w:tcPr>
          <w:p w:rsidR="00A710FE" w:rsidRPr="00FF75FD" w:rsidRDefault="00A710FE"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lastRenderedPageBreak/>
              <w:t>Special test (link level) could be employed, e.g., under a rural macro setting.</w:t>
            </w:r>
          </w:p>
        </w:tc>
      </w:tr>
      <w:tr w:rsidR="00A710FE" w:rsidRPr="00FF75FD" w:rsidTr="00B712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dxa"/>
          </w:tcPr>
          <w:p w:rsidR="00A710FE" w:rsidRPr="00FF75FD" w:rsidRDefault="00A710FE" w:rsidP="00B71254">
            <w:pPr>
              <w:rPr>
                <w:b w:val="0"/>
                <w:sz w:val="20"/>
                <w:szCs w:val="20"/>
              </w:rPr>
            </w:pPr>
            <w:r w:rsidRPr="00FF75FD">
              <w:rPr>
                <w:b w:val="0"/>
                <w:sz w:val="20"/>
                <w:szCs w:val="20"/>
              </w:rPr>
              <w:lastRenderedPageBreak/>
              <w:t>mMTC</w:t>
            </w:r>
          </w:p>
        </w:tc>
        <w:tc>
          <w:tcPr>
            <w:tcW w:w="1417" w:type="dxa"/>
          </w:tcPr>
          <w:p w:rsidR="00A710FE" w:rsidRPr="00FF75FD" w:rsidRDefault="00A710FE"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2410" w:type="dxa"/>
          </w:tcPr>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massive number of devices</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coverage</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energy constraints</w:t>
            </w:r>
          </w:p>
        </w:tc>
        <w:tc>
          <w:tcPr>
            <w:tcW w:w="2410" w:type="dxa"/>
          </w:tcPr>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connection density</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extreme coverage</w:t>
            </w:r>
          </w:p>
          <w:p w:rsidR="00A710FE" w:rsidRPr="00FF75FD" w:rsidRDefault="00A710FE" w:rsidP="00B71254">
            <w:pPr>
              <w:pStyle w:val="Listenabsatz"/>
              <w:numPr>
                <w:ilvl w:val="0"/>
                <w:numId w:val="24"/>
              </w:numPr>
              <w:ind w:left="176" w:hanging="142"/>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device battery life</w:t>
            </w:r>
          </w:p>
        </w:tc>
        <w:tc>
          <w:tcPr>
            <w:tcW w:w="3827" w:type="dxa"/>
          </w:tcPr>
          <w:p w:rsidR="00A710FE" w:rsidRPr="00FF75FD" w:rsidRDefault="002D398E" w:rsidP="00B71254">
            <w:pPr>
              <w:ind w:left="175" w:hanging="175"/>
              <w:cnfStyle w:val="000000010000" w:firstRow="0" w:lastRow="0" w:firstColumn="0" w:lastColumn="0" w:oddVBand="0" w:evenVBand="0" w:oddHBand="0" w:evenHBand="1" w:firstRowFirstColumn="0" w:firstRowLastColumn="0" w:lastRowFirstColumn="0" w:lastRowLastColumn="0"/>
              <w:rPr>
                <w:sz w:val="18"/>
                <w:szCs w:val="18"/>
                <w:lang w:eastAsia="zh-CN"/>
              </w:rPr>
            </w:pPr>
            <w:r w:rsidRPr="00FF75FD">
              <w:rPr>
                <w:sz w:val="18"/>
                <w:szCs w:val="18"/>
              </w:rPr>
              <w:t>-  Clarify the coverage and capacity impact of offering mMTC service (e.g., by evaluation of link-level performance).</w:t>
            </w:r>
          </w:p>
        </w:tc>
        <w:tc>
          <w:tcPr>
            <w:tcW w:w="3402" w:type="dxa"/>
            <w:vMerge w:val="restart"/>
          </w:tcPr>
          <w:p w:rsidR="00A710FE" w:rsidRPr="00FF75FD" w:rsidRDefault="00A710FE"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 xml:space="preserve">Some relevant KPIs </w:t>
            </w:r>
            <w:r w:rsidR="00F97E0B" w:rsidRPr="00FF75FD">
              <w:rPr>
                <w:sz w:val="18"/>
                <w:szCs w:val="18"/>
              </w:rPr>
              <w:t xml:space="preserve">may </w:t>
            </w:r>
            <w:r w:rsidRPr="00FF75FD">
              <w:rPr>
                <w:sz w:val="18"/>
                <w:szCs w:val="18"/>
              </w:rPr>
              <w:t>be evaluated without system level simulations</w:t>
            </w:r>
            <w:r w:rsidR="00C44529" w:rsidRPr="00FF75FD">
              <w:rPr>
                <w:sz w:val="18"/>
                <w:szCs w:val="18"/>
              </w:rPr>
              <w:t>.</w:t>
            </w:r>
            <w:r w:rsidRPr="00FF75FD">
              <w:rPr>
                <w:sz w:val="18"/>
                <w:szCs w:val="18"/>
              </w:rPr>
              <w:t xml:space="preserve"> </w:t>
            </w:r>
          </w:p>
          <w:p w:rsidR="00A710FE" w:rsidRPr="00FF75FD" w:rsidRDefault="00A710FE"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For KPIs that need system level simulations, eMBB deployment scenarios could be reused, possibly with some parameter changes.</w:t>
            </w:r>
            <w:r w:rsidR="00F97E0B" w:rsidRPr="00FF75FD">
              <w:rPr>
                <w:sz w:val="18"/>
                <w:szCs w:val="18"/>
              </w:rPr>
              <w:t xml:space="preserve"> The need for additional non-eMBB specific deployment scenarios is FFS.</w:t>
            </w:r>
          </w:p>
        </w:tc>
      </w:tr>
      <w:tr w:rsidR="00A710FE" w:rsidRPr="00FF75FD" w:rsidTr="00B7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dxa"/>
          </w:tcPr>
          <w:p w:rsidR="00A710FE" w:rsidRPr="00FF75FD" w:rsidRDefault="00A710FE" w:rsidP="00B71254">
            <w:pPr>
              <w:rPr>
                <w:b w:val="0"/>
                <w:sz w:val="20"/>
                <w:szCs w:val="20"/>
              </w:rPr>
            </w:pPr>
            <w:r w:rsidRPr="00FF75FD">
              <w:rPr>
                <w:b w:val="0"/>
                <w:sz w:val="20"/>
                <w:szCs w:val="20"/>
              </w:rPr>
              <w:t>URLLC</w:t>
            </w:r>
          </w:p>
        </w:tc>
        <w:tc>
          <w:tcPr>
            <w:tcW w:w="1417" w:type="dxa"/>
          </w:tcPr>
          <w:p w:rsidR="00A710FE" w:rsidRPr="00FF75FD" w:rsidRDefault="00A710FE"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2410" w:type="dxa"/>
          </w:tcPr>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high reliability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very low latency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capacity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coverage</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rFonts w:hint="eastAsia"/>
                <w:sz w:val="18"/>
                <w:szCs w:val="18"/>
                <w:lang w:eastAsia="zh-CN"/>
              </w:rPr>
              <w:t>mobility</w:t>
            </w:r>
          </w:p>
        </w:tc>
        <w:tc>
          <w:tcPr>
            <w:tcW w:w="2410" w:type="dxa"/>
          </w:tcPr>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latency</w:t>
            </w:r>
          </w:p>
          <w:p w:rsidR="00A710FE" w:rsidRPr="00FF75FD" w:rsidRDefault="00A710FE" w:rsidP="00B71254">
            <w:pPr>
              <w:pStyle w:val="Listenabsatz"/>
              <w:numPr>
                <w:ilvl w:val="0"/>
                <w:numId w:val="24"/>
              </w:numPr>
              <w:ind w:left="176" w:hanging="142"/>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reliability</w:t>
            </w:r>
          </w:p>
        </w:tc>
        <w:tc>
          <w:tcPr>
            <w:tcW w:w="3827" w:type="dxa"/>
          </w:tcPr>
          <w:p w:rsidR="00A710FE" w:rsidRPr="00FF75FD" w:rsidRDefault="00A710FE" w:rsidP="00B71254">
            <w:pPr>
              <w:ind w:left="175" w:hanging="141"/>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Clarify the coverage and capacity impact of offering URLLC service (e.g., by evaluation of link-level performance).</w:t>
            </w:r>
          </w:p>
        </w:tc>
        <w:tc>
          <w:tcPr>
            <w:tcW w:w="3402" w:type="dxa"/>
            <w:vMerge/>
          </w:tcPr>
          <w:p w:rsidR="00A710FE" w:rsidRPr="00FF75FD" w:rsidRDefault="00A710FE" w:rsidP="00B71254">
            <w:pPr>
              <w:cnfStyle w:val="000000100000" w:firstRow="0" w:lastRow="0" w:firstColumn="0" w:lastColumn="0" w:oddVBand="0" w:evenVBand="0" w:oddHBand="1" w:evenHBand="0" w:firstRowFirstColumn="0" w:firstRowLastColumn="0" w:lastRowFirstColumn="0" w:lastRowLastColumn="0"/>
              <w:rPr>
                <w:sz w:val="18"/>
                <w:szCs w:val="18"/>
              </w:rPr>
            </w:pPr>
          </w:p>
        </w:tc>
      </w:tr>
    </w:tbl>
    <w:p w:rsidR="00A710FE" w:rsidRPr="00FF75FD" w:rsidRDefault="00A710FE" w:rsidP="00A710FE">
      <w:pPr>
        <w:spacing w:after="0"/>
        <w:sectPr w:rsidR="00A710FE" w:rsidRPr="00FF75FD" w:rsidSect="005E3E74">
          <w:pgSz w:w="15840" w:h="12240" w:orient="landscape"/>
          <w:pgMar w:top="1440" w:right="1440" w:bottom="1440" w:left="1440" w:header="708" w:footer="708" w:gutter="0"/>
          <w:cols w:space="708"/>
          <w:docGrid w:linePitch="360"/>
        </w:sectPr>
      </w:pPr>
    </w:p>
    <w:p w:rsidR="00A710FE" w:rsidRPr="00FF75FD" w:rsidRDefault="00A710FE" w:rsidP="00C943D2"/>
    <w:p w:rsidR="00970A92" w:rsidRPr="00FF75FD" w:rsidRDefault="00970A92" w:rsidP="00970A92">
      <w:pPr>
        <w:pStyle w:val="Beschriftung"/>
        <w:keepNext/>
        <w:jc w:val="center"/>
      </w:pPr>
    </w:p>
    <w:p w:rsidR="00970A92" w:rsidRPr="00FF75FD" w:rsidRDefault="00970A92" w:rsidP="00970A92">
      <w:pPr>
        <w:pStyle w:val="Beschriftung"/>
        <w:keepNext/>
        <w:jc w:val="center"/>
      </w:pPr>
      <w:r w:rsidRPr="00FF75FD">
        <w:t xml:space="preserve">Table </w:t>
      </w:r>
      <w:r w:rsidR="00B81428" w:rsidRPr="00FF75FD">
        <w:fldChar w:fldCharType="begin"/>
      </w:r>
      <w:r w:rsidR="009430E6" w:rsidRPr="00FF75FD">
        <w:instrText xml:space="preserve"> SEQ Table \* ARABIC </w:instrText>
      </w:r>
      <w:r w:rsidR="00B81428" w:rsidRPr="00FF75FD">
        <w:fldChar w:fldCharType="separate"/>
      </w:r>
      <w:r w:rsidRPr="00FF75FD">
        <w:rPr>
          <w:noProof/>
        </w:rPr>
        <w:t>4</w:t>
      </w:r>
      <w:r w:rsidR="00B81428" w:rsidRPr="00FF75FD">
        <w:rPr>
          <w:noProof/>
        </w:rPr>
        <w:fldChar w:fldCharType="end"/>
      </w:r>
      <w:r w:rsidRPr="00FF75FD">
        <w:t>: Deployment scenarios and spectrum options</w:t>
      </w:r>
    </w:p>
    <w:tbl>
      <w:tblPr>
        <w:tblStyle w:val="HellesRaster-Akzent3"/>
        <w:tblW w:w="13176" w:type="dxa"/>
        <w:tblLook w:val="04A0" w:firstRow="1" w:lastRow="0" w:firstColumn="1" w:lastColumn="0" w:noHBand="0" w:noVBand="1"/>
      </w:tblPr>
      <w:tblGrid>
        <w:gridCol w:w="1399"/>
        <w:gridCol w:w="1403"/>
        <w:gridCol w:w="1417"/>
        <w:gridCol w:w="2268"/>
        <w:gridCol w:w="3184"/>
        <w:gridCol w:w="1305"/>
        <w:gridCol w:w="2200"/>
      </w:tblGrid>
      <w:tr w:rsidR="00970A92" w:rsidRPr="00FF75FD" w:rsidTr="001341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9" w:type="dxa"/>
            <w:hideMark/>
          </w:tcPr>
          <w:p w:rsidR="00970A92" w:rsidRPr="00FF75FD" w:rsidRDefault="00970A92" w:rsidP="00B71254">
            <w:pPr>
              <w:rPr>
                <w:rFonts w:eastAsiaTheme="minorEastAsia"/>
                <w:sz w:val="20"/>
                <w:szCs w:val="20"/>
              </w:rPr>
            </w:pPr>
            <w:r w:rsidRPr="00FF75FD">
              <w:rPr>
                <w:sz w:val="20"/>
                <w:szCs w:val="20"/>
              </w:rPr>
              <w:t>Deployment scenario</w:t>
            </w:r>
          </w:p>
        </w:tc>
        <w:tc>
          <w:tcPr>
            <w:tcW w:w="1403" w:type="dxa"/>
          </w:tcPr>
          <w:p w:rsidR="00970A92" w:rsidRPr="00FF75FD" w:rsidRDefault="00970A92"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KPI</w:t>
            </w:r>
          </w:p>
          <w:p w:rsidR="00134157" w:rsidRPr="00FF75FD" w:rsidRDefault="00134157" w:rsidP="00B71254">
            <w:pPr>
              <w:cnfStyle w:val="100000000000" w:firstRow="1" w:lastRow="0" w:firstColumn="0" w:lastColumn="0" w:oddVBand="0" w:evenVBand="0" w:oddHBand="0" w:evenHBand="0" w:firstRowFirstColumn="0" w:firstRowLastColumn="0" w:lastRowFirstColumn="0" w:lastRowLastColumn="0"/>
              <w:rPr>
                <w:sz w:val="20"/>
                <w:szCs w:val="20"/>
              </w:rPr>
            </w:pPr>
          </w:p>
          <w:p w:rsidR="00134157" w:rsidRPr="00FF75FD" w:rsidRDefault="00134157" w:rsidP="00B71254">
            <w:pPr>
              <w:cnfStyle w:val="100000000000" w:firstRow="1" w:lastRow="0" w:firstColumn="0" w:lastColumn="0" w:oddVBand="0" w:evenVBand="0" w:oddHBand="0" w:evenHBand="0" w:firstRowFirstColumn="0" w:firstRowLastColumn="0" w:lastRowFirstColumn="0" w:lastRowLastColumn="0"/>
              <w:rPr>
                <w:sz w:val="20"/>
                <w:szCs w:val="20"/>
              </w:rPr>
            </w:pPr>
          </w:p>
        </w:tc>
        <w:tc>
          <w:tcPr>
            <w:tcW w:w="1417" w:type="dxa"/>
          </w:tcPr>
          <w:p w:rsidR="00970A92" w:rsidRPr="00FF75FD" w:rsidRDefault="00970A92"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KPI value</w:t>
            </w:r>
          </w:p>
        </w:tc>
        <w:tc>
          <w:tcPr>
            <w:tcW w:w="2268" w:type="dxa"/>
            <w:hideMark/>
          </w:tcPr>
          <w:p w:rsidR="00970A92" w:rsidRPr="00FF75FD" w:rsidRDefault="00970A92" w:rsidP="00B71254">
            <w:pPr>
              <w:cnfStyle w:val="100000000000" w:firstRow="1" w:lastRow="0" w:firstColumn="0" w:lastColumn="0" w:oddVBand="0" w:evenVBand="0" w:oddHBand="0" w:evenHBand="0" w:firstRowFirstColumn="0" w:firstRowLastColumn="0" w:lastRowFirstColumn="0" w:lastRowLastColumn="0"/>
              <w:rPr>
                <w:rFonts w:eastAsiaTheme="minorEastAsia"/>
                <w:sz w:val="20"/>
                <w:szCs w:val="20"/>
              </w:rPr>
            </w:pPr>
            <w:r w:rsidRPr="00FF75FD">
              <w:rPr>
                <w:sz w:val="20"/>
                <w:szCs w:val="20"/>
              </w:rPr>
              <w:t>Deployment options</w:t>
            </w:r>
            <w:r w:rsidRPr="00FF75FD">
              <w:rPr>
                <w:rStyle w:val="Funotenzeichen"/>
                <w:rFonts w:eastAsiaTheme="minorEastAsia"/>
                <w:sz w:val="20"/>
                <w:szCs w:val="20"/>
              </w:rPr>
              <w:footnoteReference w:id="1"/>
            </w:r>
          </w:p>
        </w:tc>
        <w:tc>
          <w:tcPr>
            <w:tcW w:w="3184" w:type="dxa"/>
            <w:hideMark/>
          </w:tcPr>
          <w:p w:rsidR="00970A92" w:rsidRPr="00FF75FD" w:rsidRDefault="00970A92" w:rsidP="00B71254">
            <w:pPr>
              <w:cnfStyle w:val="100000000000" w:firstRow="1" w:lastRow="0" w:firstColumn="0" w:lastColumn="0" w:oddVBand="0" w:evenVBand="0" w:oddHBand="0" w:evenHBand="0" w:firstRowFirstColumn="0" w:firstRowLastColumn="0" w:lastRowFirstColumn="0" w:lastRowLastColumn="0"/>
              <w:rPr>
                <w:rFonts w:eastAsiaTheme="minorEastAsia"/>
                <w:sz w:val="20"/>
                <w:szCs w:val="20"/>
              </w:rPr>
            </w:pPr>
            <w:r w:rsidRPr="00FF75FD">
              <w:rPr>
                <w:sz w:val="20"/>
                <w:szCs w:val="20"/>
              </w:rPr>
              <w:t>Spectrum options</w:t>
            </w:r>
            <w:r w:rsidRPr="00FF75FD">
              <w:rPr>
                <w:rStyle w:val="Funotenzeichen"/>
                <w:sz w:val="20"/>
                <w:szCs w:val="20"/>
              </w:rPr>
              <w:footnoteReference w:id="2"/>
            </w:r>
          </w:p>
        </w:tc>
        <w:tc>
          <w:tcPr>
            <w:tcW w:w="1305" w:type="dxa"/>
          </w:tcPr>
          <w:p w:rsidR="00970A92" w:rsidRPr="00FF75FD" w:rsidRDefault="00970A92" w:rsidP="00B71254">
            <w:pPr>
              <w:cnfStyle w:val="100000000000" w:firstRow="1" w:lastRow="0" w:firstColumn="0" w:lastColumn="0" w:oddVBand="0" w:evenVBand="0" w:oddHBand="0" w:evenHBand="0" w:firstRowFirstColumn="0" w:firstRowLastColumn="0" w:lastRowFirstColumn="0" w:lastRowLastColumn="0"/>
              <w:rPr>
                <w:sz w:val="20"/>
                <w:szCs w:val="20"/>
              </w:rPr>
            </w:pPr>
            <w:r w:rsidRPr="00FF75FD">
              <w:rPr>
                <w:sz w:val="20"/>
                <w:szCs w:val="20"/>
              </w:rPr>
              <w:t>Bandwidth</w:t>
            </w:r>
            <w:r w:rsidRPr="00FF75FD">
              <w:rPr>
                <w:rStyle w:val="Funotenzeichen"/>
                <w:sz w:val="20"/>
                <w:szCs w:val="20"/>
              </w:rPr>
              <w:footnoteReference w:id="3"/>
            </w:r>
          </w:p>
        </w:tc>
        <w:tc>
          <w:tcPr>
            <w:tcW w:w="2200" w:type="dxa"/>
            <w:hideMark/>
          </w:tcPr>
          <w:p w:rsidR="00970A92" w:rsidRPr="00FF75FD" w:rsidRDefault="00970A92" w:rsidP="00B71254">
            <w:pPr>
              <w:cnfStyle w:val="100000000000" w:firstRow="1" w:lastRow="0" w:firstColumn="0" w:lastColumn="0" w:oddVBand="0" w:evenVBand="0" w:oddHBand="0" w:evenHBand="0" w:firstRowFirstColumn="0" w:firstRowLastColumn="0" w:lastRowFirstColumn="0" w:lastRowLastColumn="0"/>
              <w:rPr>
                <w:rFonts w:eastAsiaTheme="minorEastAsia"/>
                <w:sz w:val="20"/>
                <w:szCs w:val="20"/>
              </w:rPr>
            </w:pPr>
            <w:r w:rsidRPr="00FF75FD">
              <w:rPr>
                <w:sz w:val="20"/>
                <w:szCs w:val="20"/>
              </w:rPr>
              <w:t>Comments</w:t>
            </w:r>
          </w:p>
        </w:tc>
      </w:tr>
      <w:tr w:rsidR="00134157" w:rsidRPr="00FF75FD" w:rsidTr="00134157">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1399" w:type="dxa"/>
            <w:vMerge w:val="restart"/>
          </w:tcPr>
          <w:p w:rsidR="00134157" w:rsidRPr="00FF75FD" w:rsidRDefault="00134157" w:rsidP="00B71254">
            <w:pPr>
              <w:rPr>
                <w:b w:val="0"/>
                <w:sz w:val="18"/>
                <w:szCs w:val="18"/>
              </w:rPr>
            </w:pPr>
            <w:r w:rsidRPr="00FF75FD">
              <w:rPr>
                <w:sz w:val="18"/>
                <w:szCs w:val="18"/>
              </w:rPr>
              <w:t>Indoor hotspot (eMBB-InH)</w:t>
            </w:r>
          </w:p>
          <w:p w:rsidR="00134157" w:rsidRPr="00FF75FD" w:rsidRDefault="00134157" w:rsidP="00B71254">
            <w:pPr>
              <w:spacing w:line="276" w:lineRule="auto"/>
              <w:rPr>
                <w:rFonts w:eastAsiaTheme="minorEastAsia"/>
              </w:rPr>
            </w:pPr>
          </w:p>
        </w:tc>
        <w:tc>
          <w:tcPr>
            <w:tcW w:w="1403" w:type="dxa"/>
            <w:vMerge w:val="restart"/>
            <w:tcBorders>
              <w:top w:val="single" w:sz="18" w:space="0" w:color="9BBB59" w:themeColor="accent3"/>
            </w:tcBorders>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User experienced data rate</w:t>
            </w:r>
            <w:r w:rsidRPr="00FF75FD">
              <w:rPr>
                <w:rStyle w:val="Funotenzeichen"/>
                <w:sz w:val="18"/>
                <w:szCs w:val="18"/>
              </w:rPr>
              <w:footnoteReference w:id="4"/>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spacing w:after="200" w:line="276" w:lineRule="auto"/>
              <w:cnfStyle w:val="000000100000" w:firstRow="0" w:lastRow="0" w:firstColumn="0" w:lastColumn="0" w:oddVBand="0" w:evenVBand="0" w:oddHBand="1" w:evenHBand="0" w:firstRowFirstColumn="0" w:firstRowLastColumn="0" w:lastRowFirstColumn="0" w:lastRowLastColumn="0"/>
              <w:rPr>
                <w:rFonts w:eastAsia="MS Mincho"/>
                <w:sz w:val="18"/>
                <w:szCs w:val="18"/>
              </w:rPr>
            </w:pPr>
            <w:r w:rsidRPr="00FF75FD">
              <w:rPr>
                <w:sz w:val="18"/>
                <w:szCs w:val="18"/>
              </w:rPr>
              <w:t>Area traffic capacity (non-</w:t>
            </w:r>
            <w:r w:rsidRPr="00FF75FD">
              <w:rPr>
                <w:sz w:val="18"/>
                <w:szCs w:val="18"/>
              </w:rPr>
              <w:lastRenderedPageBreak/>
              <w:t>full buffer) for a single operato</w:t>
            </w:r>
            <w:r w:rsidR="00B81428" w:rsidRPr="00FF75FD">
              <w:rPr>
                <w:sz w:val="18"/>
                <w:szCs w:val="18"/>
              </w:rPr>
              <w:t>r</w:t>
            </w:r>
            <w:r w:rsidR="00B81428" w:rsidRPr="00FF75FD">
              <w:rPr>
                <w:rFonts w:eastAsia="MS Mincho"/>
                <w:sz w:val="18"/>
                <w:szCs w:val="18"/>
                <w:vertAlign w:val="superscript"/>
              </w:rPr>
              <w:t>4</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vMerge w:val="restart"/>
            <w:tcBorders>
              <w:top w:val="single" w:sz="18" w:space="0" w:color="9BBB59" w:themeColor="accent3"/>
            </w:tcBorders>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lastRenderedPageBreak/>
              <w:t>DL: 1 Gbps</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UL: 500 Mbps</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vertAlign w:val="superscript"/>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vertAlign w:val="superscript"/>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DL:</w:t>
            </w:r>
            <w:r w:rsidRPr="00FF75FD" w:rsidDel="00704138">
              <w:rPr>
                <w:sz w:val="18"/>
                <w:szCs w:val="18"/>
              </w:rPr>
              <w:t xml:space="preserve"> </w:t>
            </w:r>
            <w:r w:rsidRPr="00FF75FD">
              <w:rPr>
                <w:sz w:val="18"/>
                <w:szCs w:val="18"/>
              </w:rPr>
              <w:t xml:space="preserve"> 15 Tbps/km</w:t>
            </w:r>
            <w:r w:rsidRPr="00FF75FD">
              <w:rPr>
                <w:sz w:val="18"/>
                <w:szCs w:val="18"/>
                <w:vertAlign w:val="superscript"/>
              </w:rPr>
              <w:t>2</w:t>
            </w:r>
            <w:r w:rsidRPr="00FF75FD">
              <w:rPr>
                <w:sz w:val="18"/>
                <w:szCs w:val="18"/>
              </w:rPr>
              <w:t xml:space="preserve"> </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lastRenderedPageBreak/>
              <w:t>UL: 2 Tbps/km</w:t>
            </w:r>
            <w:r w:rsidRPr="00FF75FD">
              <w:rPr>
                <w:sz w:val="18"/>
                <w:szCs w:val="18"/>
                <w:vertAlign w:val="superscript"/>
              </w:rPr>
              <w:t>2</w:t>
            </w:r>
          </w:p>
        </w:tc>
        <w:tc>
          <w:tcPr>
            <w:tcW w:w="2268" w:type="dxa"/>
            <w:vMerge w:val="restart"/>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lastRenderedPageBreak/>
              <w:t xml:space="preserve">Indoor floor, ISD 20m </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100% indoors</w:t>
            </w:r>
          </w:p>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3184" w:type="dxa"/>
            <w:hideMark/>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Above 6 GHz (around 30 GHz </w:t>
            </w:r>
            <w:r w:rsidRPr="00FF75FD">
              <w:rPr>
                <w:rStyle w:val="Funotenzeichen"/>
                <w:sz w:val="18"/>
                <w:szCs w:val="18"/>
              </w:rPr>
              <w:footnoteReference w:id="5"/>
            </w:r>
            <w:r w:rsidRPr="00FF75FD">
              <w:rPr>
                <w:sz w:val="18"/>
                <w:szCs w:val="18"/>
              </w:rPr>
              <w:t>or around 70 GHz</w:t>
            </w:r>
            <w:r w:rsidRPr="00FF75FD">
              <w:rPr>
                <w:rStyle w:val="Funotenzeichen"/>
                <w:sz w:val="18"/>
                <w:szCs w:val="18"/>
              </w:rPr>
              <w:footnoteReference w:id="6"/>
            </w:r>
            <w:r w:rsidRPr="00FF75FD">
              <w:rPr>
                <w:sz w:val="18"/>
                <w:szCs w:val="18"/>
              </w:rPr>
              <w:t>)</w:t>
            </w:r>
          </w:p>
        </w:tc>
        <w:tc>
          <w:tcPr>
            <w:tcW w:w="1305" w:type="dxa"/>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Up to 1000 MHz </w:t>
            </w:r>
          </w:p>
          <w:p w:rsidR="00134157" w:rsidRPr="00FF75FD" w:rsidDel="0018597B"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color w:val="FF0066"/>
                <w:sz w:val="18"/>
                <w:szCs w:val="18"/>
              </w:rPr>
            </w:pPr>
          </w:p>
        </w:tc>
        <w:tc>
          <w:tcPr>
            <w:tcW w:w="2200" w:type="dxa"/>
            <w:hideMark/>
          </w:tcPr>
          <w:p w:rsidR="00134157" w:rsidRPr="00FF75FD"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sz w:val="18"/>
                <w:szCs w:val="18"/>
              </w:rPr>
            </w:pPr>
          </w:p>
        </w:tc>
      </w:tr>
      <w:tr w:rsidR="00134157" w:rsidRPr="00FF75FD" w:rsidTr="00134157">
        <w:trPr>
          <w:cnfStyle w:val="000000010000" w:firstRow="0" w:lastRow="0" w:firstColumn="0" w:lastColumn="0" w:oddVBand="0" w:evenVBand="0" w:oddHBand="0" w:evenHBand="1" w:firstRowFirstColumn="0" w:firstRowLastColumn="0" w:lastRowFirstColumn="0" w:lastRowLastColumn="0"/>
          <w:trHeight w:val="916"/>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rPr>
            </w:pPr>
          </w:p>
        </w:tc>
        <w:tc>
          <w:tcPr>
            <w:tcW w:w="1403" w:type="dxa"/>
            <w:vMerge/>
            <w:vAlign w:val="center"/>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1417" w:type="dxa"/>
            <w:vMerge/>
            <w:vAlign w:val="center"/>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2268" w:type="dxa"/>
            <w:vMerge/>
            <w:vAlign w:val="center"/>
            <w:hideMark/>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3184" w:type="dxa"/>
            <w:hideMark/>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 xml:space="preserve">Above 6 GHz (around 30 GHz or around 70 GHz)  </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and</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lastRenderedPageBreak/>
              <w:t>Below 6 GHz (around 4 GHz)</w:t>
            </w:r>
          </w:p>
        </w:tc>
        <w:tc>
          <w:tcPr>
            <w:tcW w:w="1305" w:type="dxa"/>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lastRenderedPageBreak/>
              <w:t xml:space="preserve">Up to 1000 MHz </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and</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Up to 200 MHz</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b/>
                <w:color w:val="FF0066"/>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2200" w:type="dxa"/>
            <w:hideMark/>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color w:val="FF0066"/>
              </w:rPr>
            </w:pPr>
            <w:r w:rsidRPr="00FF75FD">
              <w:rPr>
                <w:sz w:val="18"/>
                <w:szCs w:val="18"/>
              </w:rPr>
              <w:lastRenderedPageBreak/>
              <w:t>Evaluation only required if &gt;6GHz cannot meet requirement.</w:t>
            </w:r>
          </w:p>
        </w:tc>
      </w:tr>
      <w:tr w:rsidR="00134157" w:rsidRPr="00FF75FD" w:rsidTr="00134157">
        <w:trPr>
          <w:cnfStyle w:val="000000100000" w:firstRow="0" w:lastRow="0" w:firstColumn="0" w:lastColumn="0" w:oddVBand="0" w:evenVBand="0" w:oddHBand="1" w:evenHBand="0"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1399" w:type="dxa"/>
            <w:vMerge w:val="restart"/>
            <w:hideMark/>
          </w:tcPr>
          <w:p w:rsidR="00134157" w:rsidRPr="00FF75FD" w:rsidRDefault="00134157" w:rsidP="00B71254">
            <w:pPr>
              <w:spacing w:line="276" w:lineRule="auto"/>
              <w:rPr>
                <w:rFonts w:eastAsiaTheme="minorEastAsia"/>
                <w:b w:val="0"/>
                <w:sz w:val="18"/>
                <w:szCs w:val="18"/>
              </w:rPr>
            </w:pPr>
            <w:r w:rsidRPr="00FF75FD">
              <w:rPr>
                <w:sz w:val="18"/>
                <w:szCs w:val="18"/>
              </w:rPr>
              <w:lastRenderedPageBreak/>
              <w:t>Dense urban (eMBB-UMx)</w:t>
            </w:r>
          </w:p>
        </w:tc>
        <w:tc>
          <w:tcPr>
            <w:tcW w:w="1403" w:type="dxa"/>
            <w:vMerge w:val="restart"/>
            <w:shd w:val="clear" w:color="auto" w:fill="FFFFFF" w:themeFill="background1"/>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User experienced data rate</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Area traffic capacity</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(non-full buffer)</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vMerge w:val="restart"/>
            <w:shd w:val="clear" w:color="auto" w:fill="FFFFFF" w:themeFill="background1"/>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DL: 300 Mbps</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UL: 50 Mbps</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DL: 250</w:t>
            </w:r>
            <w:r w:rsidRPr="00FF75FD">
              <w:rPr>
                <w:color w:val="FF0000"/>
                <w:sz w:val="18"/>
                <w:szCs w:val="18"/>
              </w:rPr>
              <w:t xml:space="preserve"> </w:t>
            </w:r>
            <w:r w:rsidRPr="00FF75FD">
              <w:rPr>
                <w:sz w:val="18"/>
                <w:szCs w:val="18"/>
              </w:rPr>
              <w:t xml:space="preserve">Gbps/sq km </w:t>
            </w:r>
          </w:p>
          <w:p w:rsidR="00134157" w:rsidRPr="00FF75FD" w:rsidRDefault="00C96A78"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UL: 42 </w:t>
            </w:r>
            <w:r w:rsidR="00134157" w:rsidRPr="00FF75FD">
              <w:rPr>
                <w:sz w:val="18"/>
                <w:szCs w:val="18"/>
              </w:rPr>
              <w:t>Gbps/sq km</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2268" w:type="dxa"/>
            <w:vMerge w:val="restart"/>
            <w:shd w:val="clear" w:color="auto" w:fill="FFFFFF" w:themeFill="background1"/>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Macrocell only, ISD 200m</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20% outdoor (3 km/h) and 80% indoor (3 km/h)</w:t>
            </w:r>
          </w:p>
        </w:tc>
        <w:tc>
          <w:tcPr>
            <w:tcW w:w="3184" w:type="dxa"/>
            <w:hideMark/>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Below 6 GHz (around 4 GHz)</w:t>
            </w:r>
          </w:p>
        </w:tc>
        <w:tc>
          <w:tcPr>
            <w:tcW w:w="1305" w:type="dxa"/>
          </w:tcPr>
          <w:p w:rsidR="00134157" w:rsidRPr="00FF75FD" w:rsidRDefault="00134157" w:rsidP="00B71254">
            <w:pPr>
              <w:pStyle w:val="Listenabsatz"/>
              <w:ind w:left="0"/>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Up to 200 MHz</w:t>
            </w:r>
          </w:p>
          <w:p w:rsidR="00134157" w:rsidRPr="00FF75FD" w:rsidDel="00CA40E9"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color w:val="FF0066"/>
                <w:sz w:val="18"/>
                <w:szCs w:val="18"/>
              </w:rPr>
            </w:pPr>
          </w:p>
        </w:tc>
        <w:tc>
          <w:tcPr>
            <w:tcW w:w="2200" w:type="dxa"/>
            <w:hideMark/>
          </w:tcPr>
          <w:p w:rsidR="00134157" w:rsidRPr="00FF75FD"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color w:val="FF0066"/>
                <w:sz w:val="18"/>
                <w:szCs w:val="18"/>
              </w:rPr>
            </w:pPr>
          </w:p>
        </w:tc>
      </w:tr>
      <w:tr w:rsidR="00134157" w:rsidRPr="00FF75FD" w:rsidTr="00134157">
        <w:trPr>
          <w:cnfStyle w:val="000000010000" w:firstRow="0" w:lastRow="0" w:firstColumn="0" w:lastColumn="0" w:oddVBand="0" w:evenVBand="0" w:oddHBand="0" w:evenHBand="1"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sz w:val="18"/>
                <w:szCs w:val="18"/>
              </w:rPr>
            </w:pPr>
          </w:p>
        </w:tc>
        <w:tc>
          <w:tcPr>
            <w:tcW w:w="1403" w:type="dxa"/>
            <w:vMerge/>
            <w:vAlign w:val="center"/>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1417" w:type="dxa"/>
            <w:vMerge/>
            <w:vAlign w:val="center"/>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2268" w:type="dxa"/>
            <w:vMerge/>
            <w:vAlign w:val="center"/>
            <w:hideMark/>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3184" w:type="dxa"/>
            <w:hideMark/>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Above 6 GHz (around 30 GHz)</w:t>
            </w:r>
          </w:p>
        </w:tc>
        <w:tc>
          <w:tcPr>
            <w:tcW w:w="1305" w:type="dxa"/>
          </w:tcPr>
          <w:p w:rsidR="00134157" w:rsidRPr="00FF75FD" w:rsidDel="00CA40E9" w:rsidRDefault="00134157" w:rsidP="00B71254">
            <w:pPr>
              <w:pStyle w:val="Listenabsatz"/>
              <w:ind w:left="34"/>
              <w:cnfStyle w:val="000000010000" w:firstRow="0" w:lastRow="0" w:firstColumn="0" w:lastColumn="0" w:oddVBand="0" w:evenVBand="0" w:oddHBand="0" w:evenHBand="1" w:firstRowFirstColumn="0" w:firstRowLastColumn="0" w:lastRowFirstColumn="0" w:lastRowLastColumn="0"/>
              <w:rPr>
                <w:color w:val="FF0066"/>
                <w:sz w:val="18"/>
                <w:szCs w:val="18"/>
              </w:rPr>
            </w:pPr>
            <w:r w:rsidRPr="00FF75FD">
              <w:rPr>
                <w:sz w:val="18"/>
                <w:szCs w:val="18"/>
              </w:rPr>
              <w:t xml:space="preserve">Up to 1000 MHz </w:t>
            </w:r>
          </w:p>
        </w:tc>
        <w:tc>
          <w:tcPr>
            <w:tcW w:w="2200" w:type="dxa"/>
            <w:hideMark/>
          </w:tcPr>
          <w:p w:rsidR="00134157" w:rsidRPr="00FF75FD" w:rsidRDefault="00134157" w:rsidP="00B71254">
            <w:pPr>
              <w:pStyle w:val="Listenabsatz"/>
              <w:ind w:left="34"/>
              <w:cnfStyle w:val="000000010000" w:firstRow="0" w:lastRow="0" w:firstColumn="0" w:lastColumn="0" w:oddVBand="0" w:evenVBand="0" w:oddHBand="0" w:evenHBand="1" w:firstRowFirstColumn="0" w:firstRowLastColumn="0" w:lastRowFirstColumn="0" w:lastRowLastColumn="0"/>
              <w:rPr>
                <w:color w:val="FF0066"/>
                <w:sz w:val="18"/>
                <w:szCs w:val="18"/>
              </w:rPr>
            </w:pPr>
          </w:p>
        </w:tc>
      </w:tr>
      <w:tr w:rsidR="00134157" w:rsidRPr="00FF75FD" w:rsidTr="00134157">
        <w:trPr>
          <w:cnfStyle w:val="000000100000" w:firstRow="0" w:lastRow="0" w:firstColumn="0" w:lastColumn="0" w:oddVBand="0" w:evenVBand="0" w:oddHBand="1" w:evenHBand="0"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sz w:val="18"/>
                <w:szCs w:val="18"/>
              </w:rPr>
            </w:pPr>
          </w:p>
        </w:tc>
        <w:tc>
          <w:tcPr>
            <w:tcW w:w="1403" w:type="dxa"/>
            <w:vMerge/>
            <w:vAlign w:val="center"/>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vMerge/>
            <w:vAlign w:val="center"/>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2268" w:type="dxa"/>
            <w:vMerge/>
            <w:vAlign w:val="center"/>
            <w:hideMark/>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3184" w:type="dxa"/>
          </w:tcPr>
          <w:p w:rsidR="00134157" w:rsidRPr="00FF75FD" w:rsidRDefault="00134157" w:rsidP="00B71254">
            <w:pPr>
              <w:pStyle w:val="Listenabsatz"/>
              <w:ind w:left="0"/>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Below 6 GHz (around 4 GHz) and </w:t>
            </w:r>
          </w:p>
          <w:p w:rsidR="00134157" w:rsidRPr="00FF75FD" w:rsidRDefault="00134157" w:rsidP="00B71254">
            <w:pPr>
              <w:pStyle w:val="Listenabsatz"/>
              <w:ind w:left="0"/>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pStyle w:val="Listenabsatz"/>
              <w:ind w:left="0"/>
              <w:cnfStyle w:val="000000100000" w:firstRow="0" w:lastRow="0" w:firstColumn="0" w:lastColumn="0" w:oddVBand="0" w:evenVBand="0" w:oddHBand="1" w:evenHBand="0" w:firstRowFirstColumn="0" w:firstRowLastColumn="0" w:lastRowFirstColumn="0" w:lastRowLastColumn="0"/>
            </w:pPr>
            <w:r w:rsidRPr="00FF75FD">
              <w:rPr>
                <w:sz w:val="18"/>
                <w:szCs w:val="18"/>
              </w:rPr>
              <w:t xml:space="preserve">above 6 GHz (around 30 GHz) combined </w:t>
            </w:r>
          </w:p>
        </w:tc>
        <w:tc>
          <w:tcPr>
            <w:tcW w:w="1305" w:type="dxa"/>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Up to 200 MHz and</w:t>
            </w:r>
          </w:p>
          <w:p w:rsidR="000354AB" w:rsidRPr="00FF75FD" w:rsidRDefault="00B81428">
            <w:pPr>
              <w:cnfStyle w:val="000000100000" w:firstRow="0" w:lastRow="0" w:firstColumn="0" w:lastColumn="0" w:oddVBand="0" w:evenVBand="0" w:oddHBand="1" w:evenHBand="0" w:firstRowFirstColumn="0" w:firstRowLastColumn="0" w:lastRowFirstColumn="0" w:lastRowLastColumn="0"/>
              <w:rPr>
                <w:color w:val="FF0066"/>
                <w:sz w:val="18"/>
                <w:szCs w:val="18"/>
              </w:rPr>
            </w:pPr>
            <w:r w:rsidRPr="00FF75FD">
              <w:rPr>
                <w:sz w:val="18"/>
                <w:szCs w:val="18"/>
              </w:rPr>
              <w:t>Up to 1000 MHz</w:t>
            </w:r>
          </w:p>
        </w:tc>
        <w:tc>
          <w:tcPr>
            <w:tcW w:w="2200" w:type="dxa"/>
            <w:hideMark/>
          </w:tcPr>
          <w:p w:rsidR="00134157" w:rsidRPr="00FF75FD"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color w:val="FF0066"/>
                <w:sz w:val="18"/>
                <w:szCs w:val="18"/>
              </w:rPr>
            </w:pPr>
          </w:p>
        </w:tc>
      </w:tr>
      <w:tr w:rsidR="00134157" w:rsidRPr="00FF75FD" w:rsidTr="00134157">
        <w:trPr>
          <w:cnfStyle w:val="000000010000" w:firstRow="0" w:lastRow="0" w:firstColumn="0" w:lastColumn="0" w:oddVBand="0" w:evenVBand="0" w:oddHBand="0" w:evenHBand="1"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sz w:val="18"/>
                <w:szCs w:val="18"/>
              </w:rPr>
            </w:pPr>
          </w:p>
        </w:tc>
        <w:tc>
          <w:tcPr>
            <w:tcW w:w="1403" w:type="dxa"/>
            <w:vMerge/>
            <w:shd w:val="clear" w:color="auto" w:fill="F2F2F2" w:themeFill="background1" w:themeFillShade="F2"/>
            <w:vAlign w:val="center"/>
          </w:tcPr>
          <w:p w:rsidR="00134157" w:rsidRPr="00FF75FD" w:rsidRDefault="00134157" w:rsidP="00B71254">
            <w:pPr>
              <w:pStyle w:val="Listenabsatz"/>
              <w:ind w:left="27"/>
              <w:cnfStyle w:val="000000010000" w:firstRow="0" w:lastRow="0" w:firstColumn="0" w:lastColumn="0" w:oddVBand="0" w:evenVBand="0" w:oddHBand="0" w:evenHBand="1" w:firstRowFirstColumn="0" w:firstRowLastColumn="0" w:lastRowFirstColumn="0" w:lastRowLastColumn="0"/>
              <w:rPr>
                <w:sz w:val="18"/>
                <w:szCs w:val="18"/>
              </w:rPr>
            </w:pPr>
          </w:p>
        </w:tc>
        <w:tc>
          <w:tcPr>
            <w:tcW w:w="1417" w:type="dxa"/>
            <w:vMerge/>
            <w:shd w:val="clear" w:color="auto" w:fill="F2F2F2" w:themeFill="background1" w:themeFillShade="F2"/>
            <w:vAlign w:val="center"/>
          </w:tcPr>
          <w:p w:rsidR="00134157" w:rsidRPr="00FF75FD" w:rsidRDefault="00134157" w:rsidP="00B71254">
            <w:pPr>
              <w:pStyle w:val="Listenabsatz"/>
              <w:ind w:left="27"/>
              <w:cnfStyle w:val="000000010000" w:firstRow="0" w:lastRow="0" w:firstColumn="0" w:lastColumn="0" w:oddVBand="0" w:evenVBand="0" w:oddHBand="0" w:evenHBand="1" w:firstRowFirstColumn="0" w:firstRowLastColumn="0" w:lastRowFirstColumn="0" w:lastRowLastColumn="0"/>
              <w:rPr>
                <w:sz w:val="18"/>
                <w:szCs w:val="18"/>
              </w:rPr>
            </w:pPr>
          </w:p>
        </w:tc>
        <w:tc>
          <w:tcPr>
            <w:tcW w:w="2268" w:type="dxa"/>
            <w:vMerge w:val="restart"/>
            <w:shd w:val="clear" w:color="auto" w:fill="F2F2F2" w:themeFill="background1" w:themeFillShade="F2"/>
          </w:tcPr>
          <w:p w:rsidR="00134157" w:rsidRPr="00FF75FD" w:rsidRDefault="00134157" w:rsidP="00B71254">
            <w:pPr>
              <w:pStyle w:val="Listenabsatz"/>
              <w:ind w:left="27"/>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Macro cells with outdoor small cells</w:t>
            </w:r>
          </w:p>
          <w:p w:rsidR="00134157" w:rsidRPr="00FF75FD" w:rsidRDefault="00134157" w:rsidP="00B71254">
            <w:pPr>
              <w:pStyle w:val="Listenabsatz"/>
              <w:ind w:left="27"/>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pStyle w:val="Listenabsatz"/>
              <w:ind w:left="27"/>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Macro ISD: 200m</w:t>
            </w:r>
          </w:p>
          <w:p w:rsidR="00134157" w:rsidRPr="00FF75FD" w:rsidRDefault="00134157" w:rsidP="00B71254">
            <w:pPr>
              <w:pStyle w:val="Listenabsatz"/>
              <w:ind w:left="27"/>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Small cell ISD:</w:t>
            </w:r>
            <w:r w:rsidRPr="00FF75FD">
              <w:rPr>
                <w:color w:val="FF0000"/>
                <w:sz w:val="18"/>
                <w:szCs w:val="18"/>
              </w:rPr>
              <w:t xml:space="preserve"> </w:t>
            </w:r>
            <w:r w:rsidRPr="00FF75FD">
              <w:rPr>
                <w:sz w:val="18"/>
                <w:szCs w:val="18"/>
              </w:rPr>
              <w:t>[3]</w:t>
            </w:r>
            <w:r w:rsidRPr="00FF75FD">
              <w:rPr>
                <w:rStyle w:val="Funotenzeichen"/>
                <w:sz w:val="18"/>
                <w:szCs w:val="18"/>
              </w:rPr>
              <w:footnoteReference w:id="7"/>
            </w:r>
            <w:r w:rsidRPr="00FF75FD">
              <w:rPr>
                <w:sz w:val="18"/>
                <w:szCs w:val="18"/>
              </w:rPr>
              <w:t xml:space="preserve"> small cell per macro sector.</w:t>
            </w:r>
          </w:p>
          <w:p w:rsidR="00134157" w:rsidRPr="00FF75FD" w:rsidRDefault="00134157" w:rsidP="00B71254">
            <w:pPr>
              <w:pStyle w:val="Listenabsatz"/>
              <w:ind w:left="27"/>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Users: 20% outdoor (3 km/h) and 80% indoor (3 km/h)</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p>
        </w:tc>
        <w:tc>
          <w:tcPr>
            <w:tcW w:w="3184" w:type="dxa"/>
          </w:tcPr>
          <w:p w:rsidR="00134157" w:rsidRPr="00FF75FD" w:rsidRDefault="00134157" w:rsidP="00B71254">
            <w:pPr>
              <w:pStyle w:val="Listenabsatz"/>
              <w:ind w:left="34"/>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Below 6GHz (around 4 GHz) for both macro and small cells</w:t>
            </w:r>
          </w:p>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p>
        </w:tc>
        <w:tc>
          <w:tcPr>
            <w:tcW w:w="1305" w:type="dxa"/>
          </w:tcPr>
          <w:p w:rsidR="00134157" w:rsidRPr="00FF75FD" w:rsidDel="00547088" w:rsidRDefault="00134157" w:rsidP="00B71254">
            <w:pPr>
              <w:pStyle w:val="Listenabsatz"/>
              <w:ind w:left="34"/>
              <w:cnfStyle w:val="000000010000" w:firstRow="0" w:lastRow="0" w:firstColumn="0" w:lastColumn="0" w:oddVBand="0" w:evenVBand="0" w:oddHBand="0" w:evenHBand="1" w:firstRowFirstColumn="0" w:firstRowLastColumn="0" w:lastRowFirstColumn="0" w:lastRowLastColumn="0"/>
              <w:rPr>
                <w:color w:val="FF0066"/>
                <w:sz w:val="18"/>
                <w:szCs w:val="18"/>
              </w:rPr>
            </w:pPr>
            <w:r w:rsidRPr="00FF75FD">
              <w:rPr>
                <w:sz w:val="18"/>
                <w:szCs w:val="18"/>
              </w:rPr>
              <w:t xml:space="preserve">Up to 200 MHz </w:t>
            </w:r>
          </w:p>
        </w:tc>
        <w:tc>
          <w:tcPr>
            <w:tcW w:w="2200" w:type="dxa"/>
            <w:hideMark/>
          </w:tcPr>
          <w:p w:rsidR="00134157" w:rsidRPr="00FF75FD" w:rsidRDefault="00134157" w:rsidP="00B71254">
            <w:pPr>
              <w:pStyle w:val="Listenabsatz"/>
              <w:ind w:left="34"/>
              <w:cnfStyle w:val="000000010000" w:firstRow="0" w:lastRow="0" w:firstColumn="0" w:lastColumn="0" w:oddVBand="0" w:evenVBand="0" w:oddHBand="0" w:evenHBand="1" w:firstRowFirstColumn="0" w:firstRowLastColumn="0" w:lastRowFirstColumn="0" w:lastRowLastColumn="0"/>
              <w:rPr>
                <w:color w:val="FF0066"/>
                <w:sz w:val="18"/>
                <w:szCs w:val="18"/>
              </w:rPr>
            </w:pPr>
          </w:p>
        </w:tc>
      </w:tr>
      <w:tr w:rsidR="00134157" w:rsidRPr="00FF75FD" w:rsidTr="00134157">
        <w:trPr>
          <w:cnfStyle w:val="000000100000" w:firstRow="0" w:lastRow="0" w:firstColumn="0" w:lastColumn="0" w:oddVBand="0" w:evenVBand="0" w:oddHBand="1" w:evenHBand="0"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sz w:val="18"/>
                <w:szCs w:val="18"/>
              </w:rPr>
            </w:pPr>
          </w:p>
        </w:tc>
        <w:tc>
          <w:tcPr>
            <w:tcW w:w="1403" w:type="dxa"/>
            <w:vMerge/>
            <w:vAlign w:val="center"/>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vMerge/>
            <w:vAlign w:val="center"/>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2268" w:type="dxa"/>
            <w:vMerge/>
            <w:vAlign w:val="center"/>
            <w:hideMark/>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3184" w:type="dxa"/>
            <w:hideMark/>
          </w:tcPr>
          <w:p w:rsidR="00134157" w:rsidRPr="00FF75FD"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Above 6 GHz (around 30 GHz) for both macro and small cells</w:t>
            </w:r>
          </w:p>
        </w:tc>
        <w:tc>
          <w:tcPr>
            <w:tcW w:w="1305" w:type="dxa"/>
          </w:tcPr>
          <w:p w:rsidR="00134157" w:rsidRPr="00FF75FD" w:rsidDel="00547088"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color w:val="FF0066"/>
                <w:sz w:val="18"/>
                <w:szCs w:val="18"/>
              </w:rPr>
            </w:pPr>
            <w:r w:rsidRPr="00FF75FD">
              <w:rPr>
                <w:sz w:val="18"/>
                <w:szCs w:val="18"/>
              </w:rPr>
              <w:t>Up to 1000MHz</w:t>
            </w:r>
          </w:p>
        </w:tc>
        <w:tc>
          <w:tcPr>
            <w:tcW w:w="2200" w:type="dxa"/>
            <w:hideMark/>
          </w:tcPr>
          <w:p w:rsidR="00134157" w:rsidRPr="00FF75FD"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color w:val="FF0066"/>
                <w:sz w:val="18"/>
                <w:szCs w:val="18"/>
              </w:rPr>
            </w:pPr>
          </w:p>
        </w:tc>
      </w:tr>
      <w:tr w:rsidR="00134157" w:rsidRPr="00FF75FD" w:rsidTr="00134157">
        <w:trPr>
          <w:cnfStyle w:val="000000010000" w:firstRow="0" w:lastRow="0" w:firstColumn="0" w:lastColumn="0" w:oddVBand="0" w:evenVBand="0" w:oddHBand="0" w:evenHBand="1"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sz w:val="18"/>
                <w:szCs w:val="18"/>
              </w:rPr>
            </w:pPr>
          </w:p>
        </w:tc>
        <w:tc>
          <w:tcPr>
            <w:tcW w:w="1403" w:type="dxa"/>
            <w:vMerge/>
            <w:vAlign w:val="center"/>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1417" w:type="dxa"/>
            <w:vMerge/>
            <w:vAlign w:val="center"/>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2268" w:type="dxa"/>
            <w:vMerge/>
            <w:vAlign w:val="center"/>
            <w:hideMark/>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3184" w:type="dxa"/>
          </w:tcPr>
          <w:p w:rsidR="00134157" w:rsidRPr="00FF75FD" w:rsidRDefault="00134157" w:rsidP="00B71254">
            <w:pPr>
              <w:pStyle w:val="Listenabsatz"/>
              <w:ind w:left="34"/>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 xml:space="preserve">Below 6 GHz (around 4 GHz) and </w:t>
            </w:r>
          </w:p>
          <w:p w:rsidR="00134157" w:rsidRPr="00FF75FD" w:rsidRDefault="00134157" w:rsidP="00B71254">
            <w:pPr>
              <w:pStyle w:val="Listenabsatz"/>
              <w:ind w:left="34"/>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pStyle w:val="Listenabsatz"/>
              <w:ind w:left="34"/>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above 6 GHz (around 30 GHz) combined for macro and small cells</w:t>
            </w:r>
          </w:p>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p>
        </w:tc>
        <w:tc>
          <w:tcPr>
            <w:tcW w:w="1305" w:type="dxa"/>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Up to 200 MHz and</w:t>
            </w:r>
          </w:p>
          <w:p w:rsidR="000354AB" w:rsidRPr="00FF75FD" w:rsidRDefault="00B81428">
            <w:pPr>
              <w:cnfStyle w:val="000000010000" w:firstRow="0" w:lastRow="0" w:firstColumn="0" w:lastColumn="0" w:oddVBand="0" w:evenVBand="0" w:oddHBand="0" w:evenHBand="1" w:firstRowFirstColumn="0" w:firstRowLastColumn="0" w:lastRowFirstColumn="0" w:lastRowLastColumn="0"/>
              <w:rPr>
                <w:color w:val="FF0066"/>
                <w:sz w:val="18"/>
                <w:szCs w:val="18"/>
              </w:rPr>
            </w:pPr>
            <w:r w:rsidRPr="00FF75FD">
              <w:rPr>
                <w:sz w:val="18"/>
                <w:szCs w:val="18"/>
              </w:rPr>
              <w:t>Up to 1000 MHz</w:t>
            </w:r>
          </w:p>
        </w:tc>
        <w:tc>
          <w:tcPr>
            <w:tcW w:w="2200" w:type="dxa"/>
            <w:hideMark/>
          </w:tcPr>
          <w:p w:rsidR="00134157" w:rsidRPr="00FF75FD" w:rsidRDefault="00134157" w:rsidP="00B71254">
            <w:pPr>
              <w:pStyle w:val="Listenabsatz"/>
              <w:ind w:left="34"/>
              <w:cnfStyle w:val="000000010000" w:firstRow="0" w:lastRow="0" w:firstColumn="0" w:lastColumn="0" w:oddVBand="0" w:evenVBand="0" w:oddHBand="0" w:evenHBand="1" w:firstRowFirstColumn="0" w:firstRowLastColumn="0" w:lastRowFirstColumn="0" w:lastRowLastColumn="0"/>
              <w:rPr>
                <w:color w:val="FF0066"/>
                <w:sz w:val="18"/>
                <w:szCs w:val="18"/>
              </w:rPr>
            </w:pPr>
          </w:p>
        </w:tc>
      </w:tr>
      <w:tr w:rsidR="00134157" w:rsidRPr="00FF75FD" w:rsidTr="00134157">
        <w:trPr>
          <w:cnfStyle w:val="000000100000" w:firstRow="0" w:lastRow="0" w:firstColumn="0" w:lastColumn="0" w:oddVBand="0" w:evenVBand="0" w:oddHBand="1" w:evenHBand="0"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sz w:val="18"/>
                <w:szCs w:val="18"/>
              </w:rPr>
            </w:pPr>
          </w:p>
        </w:tc>
        <w:tc>
          <w:tcPr>
            <w:tcW w:w="1403" w:type="dxa"/>
            <w:vMerge/>
            <w:vAlign w:val="center"/>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vMerge/>
            <w:vAlign w:val="center"/>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2268" w:type="dxa"/>
            <w:vMerge/>
            <w:vAlign w:val="center"/>
            <w:hideMark/>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3184" w:type="dxa"/>
          </w:tcPr>
          <w:p w:rsidR="00134157" w:rsidRPr="00FF75FD"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Below 6 GHz (around 4 GHz) for macro and </w:t>
            </w:r>
          </w:p>
          <w:p w:rsidR="00134157" w:rsidRPr="00FF75FD"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above 6 GHz (around 30 GHz or around 70 GHz) for small cells</w:t>
            </w:r>
          </w:p>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p>
        </w:tc>
        <w:tc>
          <w:tcPr>
            <w:tcW w:w="1305" w:type="dxa"/>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Up to 200 MHz and</w:t>
            </w:r>
          </w:p>
          <w:p w:rsidR="00134157" w:rsidRPr="00FF75FD" w:rsidDel="00336BB3"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color w:val="FF0066"/>
                <w:sz w:val="18"/>
                <w:szCs w:val="18"/>
              </w:rPr>
            </w:pPr>
            <w:r w:rsidRPr="00FF75FD">
              <w:rPr>
                <w:sz w:val="18"/>
                <w:szCs w:val="18"/>
              </w:rPr>
              <w:t>Up to 1000 MHz</w:t>
            </w:r>
          </w:p>
        </w:tc>
        <w:tc>
          <w:tcPr>
            <w:tcW w:w="2200" w:type="dxa"/>
            <w:hideMark/>
          </w:tcPr>
          <w:p w:rsidR="00134157" w:rsidRPr="00FF75FD" w:rsidRDefault="00134157" w:rsidP="00B71254">
            <w:pPr>
              <w:pStyle w:val="Listenabsatz"/>
              <w:ind w:left="34"/>
              <w:cnfStyle w:val="000000100000" w:firstRow="0" w:lastRow="0" w:firstColumn="0" w:lastColumn="0" w:oddVBand="0" w:evenVBand="0" w:oddHBand="1" w:evenHBand="0" w:firstRowFirstColumn="0" w:firstRowLastColumn="0" w:lastRowFirstColumn="0" w:lastRowLastColumn="0"/>
              <w:rPr>
                <w:color w:val="FF0066"/>
                <w:sz w:val="18"/>
                <w:szCs w:val="18"/>
              </w:rPr>
            </w:pPr>
          </w:p>
        </w:tc>
      </w:tr>
      <w:tr w:rsidR="00134157" w:rsidRPr="00FF75FD" w:rsidTr="00134157">
        <w:trPr>
          <w:cnfStyle w:val="000000010000" w:firstRow="0" w:lastRow="0" w:firstColumn="0" w:lastColumn="0" w:oddVBand="0" w:evenVBand="0" w:oddHBand="0" w:evenHBand="1"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1399" w:type="dxa"/>
            <w:vMerge w:val="restart"/>
          </w:tcPr>
          <w:p w:rsidR="00134157" w:rsidRPr="00FF75FD" w:rsidRDefault="00134157" w:rsidP="00B71254">
            <w:pPr>
              <w:rPr>
                <w:b w:val="0"/>
                <w:sz w:val="18"/>
                <w:szCs w:val="18"/>
              </w:rPr>
            </w:pPr>
            <w:r w:rsidRPr="00FF75FD">
              <w:rPr>
                <w:sz w:val="18"/>
                <w:szCs w:val="18"/>
              </w:rPr>
              <w:lastRenderedPageBreak/>
              <w:t>Urban macro (eMBB-UMa)</w:t>
            </w:r>
          </w:p>
          <w:p w:rsidR="00134157" w:rsidRPr="00FF75FD" w:rsidRDefault="00134157" w:rsidP="00B71254">
            <w:pPr>
              <w:spacing w:line="276" w:lineRule="auto"/>
              <w:rPr>
                <w:rFonts w:eastAsiaTheme="minorEastAsia"/>
                <w:sz w:val="18"/>
                <w:szCs w:val="18"/>
              </w:rPr>
            </w:pPr>
          </w:p>
        </w:tc>
        <w:tc>
          <w:tcPr>
            <w:tcW w:w="1403" w:type="dxa"/>
            <w:vMerge w:val="restart"/>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User experienced data rate</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Area traffic capacity</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(non-full buffer)</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1417" w:type="dxa"/>
            <w:vMerge w:val="restart"/>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DL: 50 Mbps</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UL: 25 Mbps</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 xml:space="preserve">DL:  33 Gbps/sq km </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UL:  17 Gbps/sq km</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color w:val="FF0000"/>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2268" w:type="dxa"/>
            <w:vMerge w:val="restart"/>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Macro only, hex grid</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ISD: 500 m</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 xml:space="preserve">Users: </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1)20% outdoor (3 km/h) and 80% indoor (3 km/h)</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2)100% in cars (30 km/h)</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3184" w:type="dxa"/>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Below 6 GHz (around 2 GHz or around 4 GHz)</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1305" w:type="dxa"/>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Up to:</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 xml:space="preserve">160 Mhz (2GHz)  </w:t>
            </w:r>
          </w:p>
          <w:p w:rsidR="00134157" w:rsidRPr="00FF75FD" w:rsidDel="007A36DA" w:rsidRDefault="00134157" w:rsidP="00B71254">
            <w:pPr>
              <w:cnfStyle w:val="000000010000" w:firstRow="0" w:lastRow="0" w:firstColumn="0" w:lastColumn="0" w:oddVBand="0" w:evenVBand="0" w:oddHBand="0" w:evenHBand="1" w:firstRowFirstColumn="0" w:firstRowLastColumn="0" w:lastRowFirstColumn="0" w:lastRowLastColumn="0"/>
              <w:rPr>
                <w:color w:val="FF0066"/>
                <w:sz w:val="18"/>
                <w:szCs w:val="18"/>
              </w:rPr>
            </w:pPr>
            <w:r w:rsidRPr="00FF75FD">
              <w:rPr>
                <w:sz w:val="18"/>
                <w:szCs w:val="18"/>
              </w:rPr>
              <w:t>200 MHz (4GHz)</w:t>
            </w:r>
            <w:r w:rsidRPr="00FF75FD">
              <w:rPr>
                <w:color w:val="FF0000"/>
                <w:sz w:val="18"/>
                <w:szCs w:val="18"/>
              </w:rPr>
              <w:t xml:space="preserve"> </w:t>
            </w:r>
          </w:p>
        </w:tc>
        <w:tc>
          <w:tcPr>
            <w:tcW w:w="2200" w:type="dxa"/>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pPr>
          </w:p>
        </w:tc>
      </w:tr>
      <w:tr w:rsidR="00134157" w:rsidRPr="00FF75FD" w:rsidTr="00134157">
        <w:trPr>
          <w:cnfStyle w:val="000000100000" w:firstRow="0" w:lastRow="0" w:firstColumn="0" w:lastColumn="0" w:oddVBand="0" w:evenVBand="0" w:oddHBand="1" w:evenHBand="0"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sz w:val="18"/>
                <w:szCs w:val="18"/>
              </w:rPr>
            </w:pPr>
          </w:p>
        </w:tc>
        <w:tc>
          <w:tcPr>
            <w:tcW w:w="1403" w:type="dxa"/>
            <w:vMerge/>
            <w:vAlign w:val="center"/>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vMerge/>
            <w:vAlign w:val="center"/>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2268" w:type="dxa"/>
            <w:vMerge/>
            <w:vAlign w:val="center"/>
            <w:hideMark/>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3184" w:type="dxa"/>
          </w:tcPr>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Above 6 GHz (around 30 GHz)</w:t>
            </w:r>
          </w:p>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p>
        </w:tc>
        <w:tc>
          <w:tcPr>
            <w:tcW w:w="1305" w:type="dxa"/>
          </w:tcPr>
          <w:p w:rsidR="000354AB" w:rsidRPr="00FF75FD" w:rsidRDefault="00134157">
            <w:pPr>
              <w:pStyle w:val="Listenabsatz"/>
              <w:ind w:left="0"/>
              <w:cnfStyle w:val="000000100000" w:firstRow="0" w:lastRow="0" w:firstColumn="0" w:lastColumn="0" w:oddVBand="0" w:evenVBand="0" w:oddHBand="1" w:evenHBand="0" w:firstRowFirstColumn="0" w:firstRowLastColumn="0" w:lastRowFirstColumn="0" w:lastRowLastColumn="0"/>
              <w:rPr>
                <w:color w:val="FF0066"/>
                <w:sz w:val="18"/>
                <w:szCs w:val="18"/>
              </w:rPr>
            </w:pPr>
            <w:r w:rsidRPr="00FF75FD">
              <w:rPr>
                <w:sz w:val="18"/>
                <w:szCs w:val="18"/>
              </w:rPr>
              <w:t xml:space="preserve">Up to 1000 MHz </w:t>
            </w:r>
          </w:p>
        </w:tc>
        <w:tc>
          <w:tcPr>
            <w:tcW w:w="2200" w:type="dxa"/>
            <w:hideMark/>
          </w:tcPr>
          <w:p w:rsidR="00134157" w:rsidRPr="00FF75FD" w:rsidRDefault="00134157" w:rsidP="00B71254">
            <w:pPr>
              <w:pStyle w:val="Listenabsatz"/>
              <w:ind w:left="176"/>
              <w:cnfStyle w:val="000000100000" w:firstRow="0" w:lastRow="0" w:firstColumn="0" w:lastColumn="0" w:oddVBand="0" w:evenVBand="0" w:oddHBand="1" w:evenHBand="0" w:firstRowFirstColumn="0" w:firstRowLastColumn="0" w:lastRowFirstColumn="0" w:lastRowLastColumn="0"/>
              <w:rPr>
                <w:sz w:val="18"/>
                <w:szCs w:val="18"/>
              </w:rPr>
            </w:pPr>
          </w:p>
        </w:tc>
      </w:tr>
      <w:tr w:rsidR="00134157" w:rsidRPr="00FF75FD" w:rsidTr="00134157">
        <w:trPr>
          <w:cnfStyle w:val="000000010000" w:firstRow="0" w:lastRow="0" w:firstColumn="0" w:lastColumn="0" w:oddVBand="0" w:evenVBand="0" w:oddHBand="0" w:evenHBand="1"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sz w:val="18"/>
                <w:szCs w:val="18"/>
              </w:rPr>
            </w:pPr>
          </w:p>
        </w:tc>
        <w:tc>
          <w:tcPr>
            <w:tcW w:w="1403" w:type="dxa"/>
            <w:vMerge/>
            <w:vAlign w:val="center"/>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1417" w:type="dxa"/>
            <w:vMerge/>
            <w:vAlign w:val="center"/>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2268" w:type="dxa"/>
            <w:vMerge/>
            <w:vAlign w:val="center"/>
            <w:hideMark/>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3184" w:type="dxa"/>
            <w:hideMark/>
          </w:tcPr>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 xml:space="preserve">Below 6 GHz (around 2 GHz or around 4 GHz) </w:t>
            </w:r>
          </w:p>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and above 6 GHz (around 30 GHz) combined.</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1305" w:type="dxa"/>
          </w:tcPr>
          <w:p w:rsidR="00425343" w:rsidRPr="00FF75FD" w:rsidRDefault="00134157">
            <w:pPr>
              <w:spacing w:after="200" w:line="276" w:lineRule="auto"/>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Up to 160 Mhz (2GHz)  or200 MHz (4GHz)  and Up to 1000 MHz (30 Ghz)</w:t>
            </w:r>
          </w:p>
        </w:tc>
        <w:tc>
          <w:tcPr>
            <w:tcW w:w="2200" w:type="dxa"/>
            <w:hideMark/>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pPr>
          </w:p>
        </w:tc>
      </w:tr>
      <w:tr w:rsidR="00134157" w:rsidRPr="00FF75FD" w:rsidTr="00134157">
        <w:trPr>
          <w:cnfStyle w:val="000000100000" w:firstRow="0" w:lastRow="0" w:firstColumn="0" w:lastColumn="0" w:oddVBand="0" w:evenVBand="0" w:oddHBand="1"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1399" w:type="dxa"/>
            <w:vMerge w:val="restart"/>
          </w:tcPr>
          <w:p w:rsidR="00134157" w:rsidRPr="00FF75FD" w:rsidRDefault="00134157" w:rsidP="00B71254">
            <w:pPr>
              <w:rPr>
                <w:b w:val="0"/>
                <w:sz w:val="18"/>
                <w:szCs w:val="18"/>
              </w:rPr>
            </w:pPr>
            <w:r w:rsidRPr="00FF75FD">
              <w:rPr>
                <w:sz w:val="18"/>
                <w:szCs w:val="18"/>
              </w:rPr>
              <w:t>Rural macro (eMBB-RMa)</w:t>
            </w:r>
          </w:p>
          <w:p w:rsidR="00134157" w:rsidRPr="00FF75FD" w:rsidRDefault="00134157" w:rsidP="00B71254">
            <w:pPr>
              <w:rPr>
                <w:rFonts w:eastAsiaTheme="minorEastAsia"/>
              </w:rPr>
            </w:pPr>
          </w:p>
          <w:p w:rsidR="00134157" w:rsidRPr="00FF75FD" w:rsidRDefault="00134157" w:rsidP="00B71254">
            <w:pPr>
              <w:rPr>
                <w:rFonts w:eastAsiaTheme="minorEastAsia"/>
              </w:rPr>
            </w:pPr>
          </w:p>
          <w:p w:rsidR="00134157" w:rsidRPr="00FF75FD" w:rsidRDefault="00134157" w:rsidP="00B71254">
            <w:pPr>
              <w:rPr>
                <w:rFonts w:eastAsiaTheme="minorEastAsia"/>
              </w:rPr>
            </w:pPr>
          </w:p>
        </w:tc>
        <w:tc>
          <w:tcPr>
            <w:tcW w:w="1403" w:type="dxa"/>
            <w:vMerge w:val="restart"/>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User experienced data rate</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Area traffic capacity</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(non-full buffer)</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vMerge w:val="restart"/>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DL: 50 Mbps</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UL: 25 Mbps</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DL: 0.33 Gbps/sq km </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UL: 0.17 Gbps/sq km</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2268" w:type="dxa"/>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Macro only</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ISD: 1732 m</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Users: </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1)20% outdoor (3 km/h) and 80% indoor (3 km/h)</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2)100% in cars (120 km/h)</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p>
        </w:tc>
        <w:tc>
          <w:tcPr>
            <w:tcW w:w="3184" w:type="dxa"/>
          </w:tcPr>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Below 6 GHz (around 800 MHz or around 4 GHz).</w:t>
            </w:r>
          </w:p>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 </w:t>
            </w:r>
          </w:p>
        </w:tc>
        <w:tc>
          <w:tcPr>
            <w:tcW w:w="1305" w:type="dxa"/>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Up to 200 MHz </w:t>
            </w:r>
          </w:p>
        </w:tc>
        <w:tc>
          <w:tcPr>
            <w:tcW w:w="2200" w:type="dxa"/>
            <w:hideMark/>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pPr>
            <w:r w:rsidRPr="00FF75FD">
              <w:rPr>
                <w:sz w:val="18"/>
                <w:szCs w:val="18"/>
              </w:rPr>
              <w:t>Note: Bands above 6 GHz if needed.</w:t>
            </w:r>
          </w:p>
        </w:tc>
      </w:tr>
      <w:tr w:rsidR="00134157" w:rsidRPr="00FF75FD" w:rsidTr="00134157">
        <w:trPr>
          <w:cnfStyle w:val="000000010000" w:firstRow="0" w:lastRow="0" w:firstColumn="0" w:lastColumn="0" w:oddVBand="0" w:evenVBand="0" w:oddHBand="0" w:evenHBand="1"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rPr>
            </w:pPr>
          </w:p>
        </w:tc>
        <w:tc>
          <w:tcPr>
            <w:tcW w:w="1403" w:type="dxa"/>
            <w:vMerge/>
            <w:vAlign w:val="center"/>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1417" w:type="dxa"/>
            <w:vMerge/>
            <w:vAlign w:val="center"/>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2268" w:type="dxa"/>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Macro only</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ISD: 5 km</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 xml:space="preserve">Users: </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1)20% outdoor (3 km/h) and 80% indoor (3 km/h)</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2)100% in cars (120 km/h)</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p>
        </w:tc>
        <w:tc>
          <w:tcPr>
            <w:tcW w:w="3184" w:type="dxa"/>
          </w:tcPr>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lastRenderedPageBreak/>
              <w:t>Below 6 GHz (around 800 MHz and around 2 GHz combined)</w:t>
            </w:r>
          </w:p>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p>
        </w:tc>
        <w:tc>
          <w:tcPr>
            <w:tcW w:w="1305" w:type="dxa"/>
          </w:tcPr>
          <w:p w:rsidR="00134157" w:rsidRPr="00FF75FD" w:rsidRDefault="00134157" w:rsidP="00B71254">
            <w:pPr>
              <w:spacing w:after="200" w:line="276" w:lineRule="auto"/>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Up to 100 MHz</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(e.g., 60 MHz @ around 800 MHz</w:t>
            </w:r>
          </w:p>
          <w:p w:rsidR="00134157" w:rsidRPr="00FF75FD" w:rsidDel="00E76399"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40 MHz @ around 2 GHz)</w:t>
            </w:r>
          </w:p>
        </w:tc>
        <w:tc>
          <w:tcPr>
            <w:tcW w:w="2200" w:type="dxa"/>
            <w:hideMark/>
          </w:tcPr>
          <w:p w:rsidR="00134157" w:rsidRPr="00FF75FD" w:rsidRDefault="00134157" w:rsidP="00B71254">
            <w:pPr>
              <w:spacing w:after="200" w:line="276" w:lineRule="auto"/>
              <w:cnfStyle w:val="000000010000" w:firstRow="0" w:lastRow="0" w:firstColumn="0" w:lastColumn="0" w:oddVBand="0" w:evenVBand="0" w:oddHBand="0" w:evenHBand="1" w:firstRowFirstColumn="0" w:firstRowLastColumn="0" w:lastRowFirstColumn="0" w:lastRowLastColumn="0"/>
              <w:rPr>
                <w:color w:val="FF0066"/>
              </w:rPr>
            </w:pPr>
          </w:p>
        </w:tc>
      </w:tr>
      <w:tr w:rsidR="00134157" w:rsidRPr="00FF75FD" w:rsidTr="00134157">
        <w:trPr>
          <w:cnfStyle w:val="000000100000" w:firstRow="0" w:lastRow="0" w:firstColumn="0" w:lastColumn="0" w:oddVBand="0" w:evenVBand="0" w:oddHBand="1" w:evenHBand="0"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1399" w:type="dxa"/>
            <w:vMerge w:val="restart"/>
          </w:tcPr>
          <w:p w:rsidR="00134157" w:rsidRPr="00FF75FD" w:rsidRDefault="00134157" w:rsidP="00B71254">
            <w:pPr>
              <w:rPr>
                <w:b w:val="0"/>
                <w:sz w:val="18"/>
                <w:szCs w:val="18"/>
              </w:rPr>
            </w:pPr>
            <w:r w:rsidRPr="00FF75FD">
              <w:rPr>
                <w:sz w:val="18"/>
                <w:szCs w:val="18"/>
              </w:rPr>
              <w:lastRenderedPageBreak/>
              <w:t>High speed (eMBB-HS)</w:t>
            </w:r>
          </w:p>
          <w:p w:rsidR="00134157" w:rsidRPr="00FF75FD" w:rsidRDefault="00134157" w:rsidP="00B71254">
            <w:pPr>
              <w:rPr>
                <w:sz w:val="18"/>
                <w:szCs w:val="18"/>
              </w:rPr>
            </w:pPr>
          </w:p>
          <w:p w:rsidR="00134157" w:rsidRPr="00FF75FD" w:rsidRDefault="00134157" w:rsidP="00B71254">
            <w:pPr>
              <w:rPr>
                <w:sz w:val="18"/>
                <w:szCs w:val="18"/>
              </w:rPr>
            </w:pPr>
            <w:r w:rsidRPr="00FF75FD">
              <w:rPr>
                <w:sz w:val="18"/>
                <w:szCs w:val="18"/>
              </w:rPr>
              <w:t>Train</w:t>
            </w:r>
          </w:p>
          <w:p w:rsidR="00134157" w:rsidRPr="00FF75FD" w:rsidRDefault="00134157" w:rsidP="00B71254">
            <w:pPr>
              <w:rPr>
                <w:sz w:val="18"/>
                <w:szCs w:val="18"/>
              </w:rPr>
            </w:pPr>
          </w:p>
          <w:p w:rsidR="00134157" w:rsidRPr="00FF75FD" w:rsidRDefault="00134157" w:rsidP="00B71254">
            <w:pPr>
              <w:rPr>
                <w:rFonts w:eastAsiaTheme="minorEastAsia"/>
                <w:sz w:val="18"/>
                <w:szCs w:val="18"/>
              </w:rPr>
            </w:pPr>
          </w:p>
        </w:tc>
        <w:tc>
          <w:tcPr>
            <w:tcW w:w="1403" w:type="dxa"/>
            <w:vMerge w:val="restart"/>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User experienced data rate</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Users/train</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Traffic/train </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pStyle w:val="Listenabsatz"/>
              <w:ind w:left="0"/>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vMerge w:val="restart"/>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lang w:val="fr-FR"/>
              </w:rPr>
            </w:pPr>
            <w:r w:rsidRPr="00FF75FD">
              <w:rPr>
                <w:sz w:val="18"/>
                <w:szCs w:val="18"/>
                <w:lang w:val="fr-FR"/>
              </w:rPr>
              <w:t>DL: 50 Mbps</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lang w:val="fr-FR"/>
              </w:rPr>
            </w:pPr>
            <w:r w:rsidRPr="00FF75FD">
              <w:rPr>
                <w:sz w:val="18"/>
                <w:szCs w:val="18"/>
                <w:lang w:val="fr-FR"/>
              </w:rPr>
              <w:t>UL: 25 Mbps</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lang w:val="fr-FR"/>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lang w:val="fr-FR"/>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lang w:val="fr-FR"/>
              </w:rPr>
            </w:pPr>
            <w:r w:rsidRPr="00FF75FD">
              <w:rPr>
                <w:sz w:val="18"/>
                <w:szCs w:val="18"/>
                <w:lang w:val="fr-FR"/>
              </w:rPr>
              <w:t>1000 /train</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lang w:val="fr-FR"/>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lang w:val="fr-FR"/>
              </w:rPr>
            </w:pPr>
            <w:r w:rsidRPr="00FF75FD">
              <w:rPr>
                <w:sz w:val="18"/>
                <w:szCs w:val="18"/>
                <w:lang w:val="fr-FR"/>
              </w:rPr>
              <w:t>DL:  15  Gbps/ train</w:t>
            </w:r>
          </w:p>
          <w:p w:rsidR="00134157" w:rsidRPr="00FF75FD" w:rsidRDefault="00134157" w:rsidP="00B71254">
            <w:pPr>
              <w:spacing w:after="20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sidRPr="00FF75FD">
              <w:rPr>
                <w:sz w:val="18"/>
                <w:szCs w:val="18"/>
                <w:lang w:val="fr-FR"/>
              </w:rPr>
              <w:t>UL:  7.5 Gbps/ train</w:t>
            </w:r>
          </w:p>
          <w:p w:rsidR="00134157" w:rsidRPr="00FF75FD" w:rsidRDefault="00134157" w:rsidP="00B71254">
            <w:pPr>
              <w:spacing w:after="20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p>
          <w:p w:rsidR="00134157" w:rsidRPr="00FF75FD" w:rsidRDefault="00134157" w:rsidP="00B71254">
            <w:pPr>
              <w:pStyle w:val="Listenabsatz"/>
              <w:ind w:left="0"/>
              <w:cnfStyle w:val="000000100000" w:firstRow="0" w:lastRow="0" w:firstColumn="0" w:lastColumn="0" w:oddVBand="0" w:evenVBand="0" w:oddHBand="1" w:evenHBand="0" w:firstRowFirstColumn="0" w:firstRowLastColumn="0" w:lastRowFirstColumn="0" w:lastRowLastColumn="0"/>
              <w:rPr>
                <w:sz w:val="18"/>
                <w:szCs w:val="18"/>
              </w:rPr>
            </w:pPr>
          </w:p>
        </w:tc>
        <w:tc>
          <w:tcPr>
            <w:tcW w:w="2268" w:type="dxa"/>
          </w:tcPr>
          <w:p w:rsidR="00134157" w:rsidRPr="00FF75FD" w:rsidRDefault="00134157" w:rsidP="00B71254">
            <w:pPr>
              <w:pStyle w:val="Listenabsatz"/>
              <w:ind w:left="0"/>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Outdoor base stations to users in trains @ 500 Km/h</w:t>
            </w:r>
          </w:p>
          <w:p w:rsidR="00134157" w:rsidRPr="00FF75FD" w:rsidRDefault="00134157" w:rsidP="00B71254">
            <w:pPr>
              <w:pStyle w:val="Listenabsatz"/>
              <w:ind w:left="0"/>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pStyle w:val="Listenabsatz"/>
              <w:ind w:left="0"/>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Use of link level or system level simulation is TBD</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3184" w:type="dxa"/>
          </w:tcPr>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Below 6 GHz  (Tbc)</w:t>
            </w:r>
          </w:p>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p>
        </w:tc>
        <w:tc>
          <w:tcPr>
            <w:tcW w:w="1305" w:type="dxa"/>
          </w:tcPr>
          <w:p w:rsidR="00134157" w:rsidRPr="00FF75FD" w:rsidDel="004A5FCB" w:rsidRDefault="00134157" w:rsidP="00B71254">
            <w:pPr>
              <w:cnfStyle w:val="000000100000" w:firstRow="0" w:lastRow="0" w:firstColumn="0" w:lastColumn="0" w:oddVBand="0" w:evenVBand="0" w:oddHBand="1" w:evenHBand="0" w:firstRowFirstColumn="0" w:firstRowLastColumn="0" w:lastRowFirstColumn="0" w:lastRowLastColumn="0"/>
              <w:rPr>
                <w:color w:val="FF0066"/>
                <w:sz w:val="18"/>
                <w:szCs w:val="18"/>
              </w:rPr>
            </w:pPr>
          </w:p>
        </w:tc>
        <w:tc>
          <w:tcPr>
            <w:tcW w:w="2200" w:type="dxa"/>
            <w:hideMark/>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color w:val="FF0066"/>
                <w:sz w:val="18"/>
                <w:szCs w:val="18"/>
              </w:rPr>
            </w:pPr>
          </w:p>
        </w:tc>
      </w:tr>
      <w:tr w:rsidR="00134157" w:rsidRPr="00FF75FD" w:rsidTr="00134157">
        <w:trPr>
          <w:cnfStyle w:val="000000010000" w:firstRow="0" w:lastRow="0" w:firstColumn="0" w:lastColumn="0" w:oddVBand="0" w:evenVBand="0" w:oddHBand="0" w:evenHBand="1"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sz w:val="18"/>
                <w:szCs w:val="18"/>
              </w:rPr>
            </w:pPr>
          </w:p>
        </w:tc>
        <w:tc>
          <w:tcPr>
            <w:tcW w:w="1403" w:type="dxa"/>
            <w:vMerge/>
            <w:vAlign w:val="center"/>
          </w:tcPr>
          <w:p w:rsidR="00134157" w:rsidRPr="00FF75FD" w:rsidRDefault="00134157" w:rsidP="00B71254">
            <w:pPr>
              <w:pStyle w:val="Listenabsatz"/>
              <w:ind w:left="0"/>
              <w:cnfStyle w:val="000000010000" w:firstRow="0" w:lastRow="0" w:firstColumn="0" w:lastColumn="0" w:oddVBand="0" w:evenVBand="0" w:oddHBand="0" w:evenHBand="1" w:firstRowFirstColumn="0" w:firstRowLastColumn="0" w:lastRowFirstColumn="0" w:lastRowLastColumn="0"/>
              <w:rPr>
                <w:sz w:val="18"/>
                <w:szCs w:val="18"/>
              </w:rPr>
            </w:pPr>
          </w:p>
        </w:tc>
        <w:tc>
          <w:tcPr>
            <w:tcW w:w="1417" w:type="dxa"/>
            <w:vMerge/>
            <w:vAlign w:val="center"/>
          </w:tcPr>
          <w:p w:rsidR="00134157" w:rsidRPr="00FF75FD" w:rsidRDefault="00134157" w:rsidP="00B71254">
            <w:pPr>
              <w:pStyle w:val="Listenabsatz"/>
              <w:ind w:left="0"/>
              <w:cnfStyle w:val="000000010000" w:firstRow="0" w:lastRow="0" w:firstColumn="0" w:lastColumn="0" w:oddVBand="0" w:evenVBand="0" w:oddHBand="0" w:evenHBand="1" w:firstRowFirstColumn="0" w:firstRowLastColumn="0" w:lastRowFirstColumn="0" w:lastRowLastColumn="0"/>
              <w:rPr>
                <w:sz w:val="18"/>
                <w:szCs w:val="18"/>
              </w:rPr>
            </w:pPr>
          </w:p>
        </w:tc>
        <w:tc>
          <w:tcPr>
            <w:tcW w:w="2268" w:type="dxa"/>
            <w:vMerge w:val="restart"/>
          </w:tcPr>
          <w:p w:rsidR="00134157" w:rsidRPr="00FF75FD" w:rsidRDefault="00134157" w:rsidP="00B71254">
            <w:pPr>
              <w:pStyle w:val="Listenabsatz"/>
              <w:ind w:left="0"/>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Outdoor BS to relay on trains, and then from relay to users in trains @ 500 Km/h</w:t>
            </w:r>
          </w:p>
          <w:p w:rsidR="00134157" w:rsidRPr="00FF75FD" w:rsidRDefault="00134157" w:rsidP="00B71254">
            <w:pPr>
              <w:pStyle w:val="Listenabsatz"/>
              <w:ind w:left="0"/>
              <w:cnfStyle w:val="000000010000" w:firstRow="0" w:lastRow="0" w:firstColumn="0" w:lastColumn="0" w:oddVBand="0" w:evenVBand="0" w:oddHBand="0" w:evenHBand="1" w:firstRowFirstColumn="0" w:firstRowLastColumn="0" w:lastRowFirstColumn="0" w:lastRowLastColumn="0"/>
              <w:rPr>
                <w:color w:val="FF0000"/>
                <w:sz w:val="18"/>
                <w:szCs w:val="18"/>
              </w:rPr>
            </w:pPr>
          </w:p>
          <w:p w:rsidR="00134157" w:rsidRPr="00FF75FD" w:rsidRDefault="00134157" w:rsidP="00B71254">
            <w:pPr>
              <w:pStyle w:val="Listenabsatz"/>
              <w:ind w:left="0"/>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Use of link level or system level simulation is TBD</w:t>
            </w:r>
          </w:p>
          <w:p w:rsidR="00134157" w:rsidRPr="00FF75FD" w:rsidRDefault="00134157" w:rsidP="00B71254">
            <w:pPr>
              <w:pStyle w:val="Listenabsatz"/>
              <w:ind w:left="0"/>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pStyle w:val="Listenabsatz"/>
              <w:ind w:left="0"/>
              <w:cnfStyle w:val="000000010000" w:firstRow="0" w:lastRow="0" w:firstColumn="0" w:lastColumn="0" w:oddVBand="0" w:evenVBand="0" w:oddHBand="0" w:evenHBand="1" w:firstRowFirstColumn="0" w:firstRowLastColumn="0" w:lastRowFirstColumn="0" w:lastRowLastColumn="0"/>
              <w:rPr>
                <w:sz w:val="18"/>
                <w:szCs w:val="18"/>
              </w:rPr>
            </w:pPr>
          </w:p>
        </w:tc>
        <w:tc>
          <w:tcPr>
            <w:tcW w:w="3184" w:type="dxa"/>
          </w:tcPr>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For BS to relay: Below 6 GHz (around 4 GHz)</w:t>
            </w:r>
          </w:p>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p>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For relay to UE:</w:t>
            </w:r>
          </w:p>
          <w:p w:rsidR="00134157" w:rsidRPr="00FF75FD" w:rsidRDefault="00134157" w:rsidP="00B71254">
            <w:pPr>
              <w:ind w:left="34"/>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Above 6 GHz  (around 30 GHz or around 70 GHz) and below 6 GHz (around 4 G Hz)</w:t>
            </w:r>
          </w:p>
        </w:tc>
        <w:tc>
          <w:tcPr>
            <w:tcW w:w="1305" w:type="dxa"/>
          </w:tcPr>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Up to 200 MHz</w:t>
            </w: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color w:val="FF0066"/>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color w:val="FF0066"/>
                <w:sz w:val="18"/>
                <w:szCs w:val="18"/>
              </w:rPr>
            </w:pPr>
          </w:p>
          <w:p w:rsidR="00134157" w:rsidRPr="00FF75FD" w:rsidRDefault="00134157" w:rsidP="00B71254">
            <w:pPr>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Up to 1000 MHz and</w:t>
            </w:r>
          </w:p>
          <w:p w:rsidR="00134157" w:rsidRPr="00FF75FD" w:rsidRDefault="00134157" w:rsidP="00B71254">
            <w:pPr>
              <w:pStyle w:val="Listenabsatz"/>
              <w:ind w:left="34"/>
              <w:cnfStyle w:val="000000010000" w:firstRow="0" w:lastRow="0" w:firstColumn="0" w:lastColumn="0" w:oddVBand="0" w:evenVBand="0" w:oddHBand="0" w:evenHBand="1" w:firstRowFirstColumn="0" w:firstRowLastColumn="0" w:lastRowFirstColumn="0" w:lastRowLastColumn="0"/>
              <w:rPr>
                <w:sz w:val="18"/>
                <w:szCs w:val="18"/>
              </w:rPr>
            </w:pPr>
            <w:r w:rsidRPr="00FF75FD">
              <w:rPr>
                <w:sz w:val="18"/>
                <w:szCs w:val="18"/>
              </w:rPr>
              <w:t>Up to 200 MHz</w:t>
            </w:r>
          </w:p>
        </w:tc>
        <w:tc>
          <w:tcPr>
            <w:tcW w:w="2200" w:type="dxa"/>
            <w:hideMark/>
          </w:tcPr>
          <w:p w:rsidR="00134157" w:rsidRPr="00FF75FD" w:rsidRDefault="00134157" w:rsidP="00B71254">
            <w:pPr>
              <w:pStyle w:val="Listenabsatz"/>
              <w:ind w:left="34"/>
              <w:cnfStyle w:val="000000010000" w:firstRow="0" w:lastRow="0" w:firstColumn="0" w:lastColumn="0" w:oddVBand="0" w:evenVBand="0" w:oddHBand="0" w:evenHBand="1" w:firstRowFirstColumn="0" w:firstRowLastColumn="0" w:lastRowFirstColumn="0" w:lastRowLastColumn="0"/>
              <w:rPr>
                <w:color w:val="FF0066"/>
                <w:sz w:val="18"/>
                <w:szCs w:val="18"/>
              </w:rPr>
            </w:pPr>
            <w:r w:rsidRPr="00FF75FD">
              <w:rPr>
                <w:sz w:val="18"/>
                <w:szCs w:val="18"/>
              </w:rPr>
              <w:t>Evaluations will focus on the BS to relay link.</w:t>
            </w:r>
          </w:p>
        </w:tc>
      </w:tr>
      <w:tr w:rsidR="00134157" w:rsidRPr="00FF75FD" w:rsidTr="00134157">
        <w:trPr>
          <w:cnfStyle w:val="000000100000" w:firstRow="0" w:lastRow="0" w:firstColumn="0" w:lastColumn="0" w:oddVBand="0" w:evenVBand="0" w:oddHBand="1" w:evenHBand="0"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134157" w:rsidRPr="00FF75FD" w:rsidRDefault="00134157" w:rsidP="00B71254">
            <w:pPr>
              <w:rPr>
                <w:rFonts w:eastAsiaTheme="minorEastAsia"/>
                <w:sz w:val="18"/>
                <w:szCs w:val="18"/>
              </w:rPr>
            </w:pPr>
          </w:p>
        </w:tc>
        <w:tc>
          <w:tcPr>
            <w:tcW w:w="1403" w:type="dxa"/>
            <w:vMerge/>
            <w:vAlign w:val="center"/>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1417" w:type="dxa"/>
            <w:vMerge/>
            <w:vAlign w:val="center"/>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2268" w:type="dxa"/>
            <w:vMerge/>
            <w:vAlign w:val="center"/>
            <w:hideMark/>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3184" w:type="dxa"/>
          </w:tcPr>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For BS to relay: Above 6 GHz (around 30 GHz)</w:t>
            </w:r>
          </w:p>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p>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For relay to UE:</w:t>
            </w:r>
          </w:p>
          <w:p w:rsidR="00134157" w:rsidRPr="00FF75FD" w:rsidRDefault="00134157" w:rsidP="00B71254">
            <w:pPr>
              <w:ind w:left="34"/>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Above 6 GHz (around 30 GHz or around 70 GHz) and below 6 GHz (around 4 GHz)</w:t>
            </w:r>
          </w:p>
        </w:tc>
        <w:tc>
          <w:tcPr>
            <w:tcW w:w="1305" w:type="dxa"/>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Up to 1000 MHz</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color w:val="FF0066"/>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color w:val="FF0066"/>
                <w:sz w:val="18"/>
                <w:szCs w:val="18"/>
              </w:rPr>
            </w:pP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Up to 1000 MHz  and</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r w:rsidRPr="00FF75FD">
              <w:rPr>
                <w:sz w:val="18"/>
                <w:szCs w:val="18"/>
              </w:rPr>
              <w:t xml:space="preserve">Up to 200 MHz </w:t>
            </w:r>
          </w:p>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rPr>
                <w:sz w:val="18"/>
                <w:szCs w:val="18"/>
              </w:rPr>
            </w:pPr>
          </w:p>
        </w:tc>
        <w:tc>
          <w:tcPr>
            <w:tcW w:w="2200" w:type="dxa"/>
            <w:hideMark/>
          </w:tcPr>
          <w:p w:rsidR="00134157" w:rsidRPr="00FF75FD" w:rsidRDefault="00134157" w:rsidP="00B71254">
            <w:pPr>
              <w:cnfStyle w:val="000000100000" w:firstRow="0" w:lastRow="0" w:firstColumn="0" w:lastColumn="0" w:oddVBand="0" w:evenVBand="0" w:oddHBand="1" w:evenHBand="0" w:firstRowFirstColumn="0" w:firstRowLastColumn="0" w:lastRowFirstColumn="0" w:lastRowLastColumn="0"/>
            </w:pPr>
            <w:r w:rsidRPr="00FF75FD">
              <w:rPr>
                <w:sz w:val="18"/>
                <w:szCs w:val="18"/>
              </w:rPr>
              <w:t>Evaluations will focus on the BS to relay link.</w:t>
            </w:r>
          </w:p>
        </w:tc>
      </w:tr>
    </w:tbl>
    <w:p w:rsidR="00970A92" w:rsidRPr="00FF75FD" w:rsidRDefault="00970A92" w:rsidP="00C943D2">
      <w:pPr>
        <w:rPr>
          <w:rFonts w:eastAsia="MS Mincho"/>
        </w:rPr>
      </w:pPr>
    </w:p>
    <w:p w:rsidR="00B71254" w:rsidRPr="00FF75FD" w:rsidRDefault="00B71254" w:rsidP="00C943D2">
      <w:pPr>
        <w:rPr>
          <w:rFonts w:eastAsia="MS Mincho"/>
        </w:rPr>
      </w:pPr>
    </w:p>
    <w:p w:rsidR="000354AB" w:rsidRPr="00FF75FD" w:rsidRDefault="00B81428">
      <w:pPr>
        <w:pStyle w:val="berschrift1"/>
        <w:rPr>
          <w:color w:val="365F91"/>
        </w:rPr>
      </w:pPr>
      <w:r w:rsidRPr="00FF75FD">
        <w:rPr>
          <w:rFonts w:eastAsia="MS Mincho"/>
          <w:color w:val="365F91"/>
        </w:rPr>
        <w:lastRenderedPageBreak/>
        <w:t xml:space="preserve">Appendix: </w:t>
      </w:r>
      <w:r w:rsidRPr="00FF75FD">
        <w:rPr>
          <w:color w:val="365F91"/>
        </w:rPr>
        <w:t>Assumptions for deriving Area traffic capacity (non-full buffer) for a single operator</w:t>
      </w:r>
    </w:p>
    <w:p w:rsidR="00C96A78" w:rsidRPr="00FF75FD" w:rsidRDefault="00C96A78" w:rsidP="00C96A78">
      <w:pPr>
        <w:rPr>
          <w:lang w:eastAsia="zh-CN"/>
        </w:rPr>
      </w:pPr>
    </w:p>
    <w:p w:rsidR="000354AB" w:rsidRPr="00FF75FD" w:rsidRDefault="00B81428">
      <w:pPr>
        <w:pStyle w:val="Listenabsatz"/>
        <w:numPr>
          <w:ilvl w:val="0"/>
          <w:numId w:val="30"/>
        </w:numPr>
        <w:rPr>
          <w:rFonts w:eastAsia="MS Mincho"/>
          <w:b/>
          <w:color w:val="365F91"/>
          <w:sz w:val="28"/>
          <w:szCs w:val="28"/>
        </w:rPr>
      </w:pPr>
      <w:r w:rsidRPr="00FF75FD">
        <w:rPr>
          <w:rFonts w:eastAsia="MS Mincho"/>
          <w:b/>
          <w:color w:val="365F91"/>
          <w:sz w:val="28"/>
          <w:szCs w:val="28"/>
        </w:rPr>
        <w:t xml:space="preserve">Downlink: </w:t>
      </w:r>
    </w:p>
    <w:tbl>
      <w:tblPr>
        <w:tblW w:w="13064" w:type="dxa"/>
        <w:tblInd w:w="94" w:type="dxa"/>
        <w:tblCellMar>
          <w:left w:w="99" w:type="dxa"/>
          <w:right w:w="99" w:type="dxa"/>
        </w:tblCellMar>
        <w:tblLook w:val="04A0" w:firstRow="1" w:lastRow="0" w:firstColumn="1" w:lastColumn="0" w:noHBand="0" w:noVBand="1"/>
      </w:tblPr>
      <w:tblGrid>
        <w:gridCol w:w="1706"/>
        <w:gridCol w:w="1560"/>
        <w:gridCol w:w="1701"/>
        <w:gridCol w:w="1559"/>
        <w:gridCol w:w="1984"/>
        <w:gridCol w:w="2268"/>
        <w:gridCol w:w="2286"/>
      </w:tblGrid>
      <w:tr w:rsidR="00B71254" w:rsidRPr="00FF75FD" w:rsidTr="00B71254">
        <w:trPr>
          <w:trHeight w:val="801"/>
        </w:trPr>
        <w:tc>
          <w:tcPr>
            <w:tcW w:w="1706" w:type="dxa"/>
            <w:tcBorders>
              <w:top w:val="single" w:sz="4" w:space="0" w:color="auto"/>
              <w:left w:val="single" w:sz="4" w:space="0" w:color="auto"/>
              <w:bottom w:val="single" w:sz="4" w:space="0" w:color="auto"/>
              <w:right w:val="single" w:sz="4" w:space="0" w:color="auto"/>
            </w:tcBorders>
            <w:shd w:val="clear" w:color="000000" w:fill="DAEEF3"/>
          </w:tcPr>
          <w:p w:rsidR="00B71254" w:rsidRPr="00FF75FD" w:rsidRDefault="00B71254" w:rsidP="00B71254">
            <w:pPr>
              <w:spacing w:after="0" w:line="240" w:lineRule="auto"/>
              <w:rPr>
                <w:rFonts w:ascii="MS PGothic" w:eastAsia="MS PGothic" w:hAnsi="MS PGothic" w:cs="MS PGothic"/>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000000" w:fill="DAEEF3"/>
            <w:vAlign w:val="bottom"/>
            <w:hideMark/>
          </w:tcPr>
          <w:p w:rsidR="00B71254" w:rsidRPr="00FF75FD" w:rsidRDefault="00A47907" w:rsidP="00B71254">
            <w:pPr>
              <w:spacing w:after="0" w:line="240" w:lineRule="auto"/>
              <w:rPr>
                <w:rFonts w:ascii="MS PGothic" w:eastAsia="MS PGothic" w:hAnsi="MS PGothic" w:cs="MS PGothic"/>
                <w:b/>
                <w:bCs/>
                <w:color w:val="000000"/>
              </w:rPr>
            </w:pPr>
            <w:r w:rsidRPr="00FF75FD">
              <w:rPr>
                <w:rFonts w:ascii="MS PGothic" w:eastAsia="MS PGothic" w:hAnsi="MS PGothic" w:cs="MS PGothic"/>
                <w:b/>
                <w:bCs/>
                <w:color w:val="000000"/>
              </w:rPr>
              <w:t>Overall</w:t>
            </w:r>
            <w:r w:rsidR="00B71254" w:rsidRPr="00FF75FD">
              <w:rPr>
                <w:rFonts w:ascii="MS PGothic" w:eastAsia="MS PGothic" w:hAnsi="MS PGothic" w:cs="MS PGothic" w:hint="eastAsia"/>
                <w:b/>
                <w:bCs/>
                <w:color w:val="000000"/>
              </w:rPr>
              <w:t xml:space="preserve"> </w:t>
            </w:r>
            <w:r w:rsidRPr="00FF75FD">
              <w:rPr>
                <w:rFonts w:ascii="MS PGothic" w:eastAsia="MS PGothic" w:hAnsi="MS PGothic" w:cs="MS PGothic"/>
                <w:b/>
                <w:bCs/>
                <w:color w:val="000000"/>
              </w:rPr>
              <w:t>User</w:t>
            </w:r>
            <w:r w:rsidR="00B71254" w:rsidRPr="00FF75FD">
              <w:rPr>
                <w:rFonts w:ascii="MS PGothic" w:eastAsia="MS PGothic" w:hAnsi="MS PGothic" w:cs="MS PGothic" w:hint="eastAsia"/>
                <w:b/>
                <w:bCs/>
                <w:color w:val="000000"/>
              </w:rPr>
              <w:t xml:space="preserve"> density</w:t>
            </w:r>
          </w:p>
        </w:tc>
        <w:tc>
          <w:tcPr>
            <w:tcW w:w="1701" w:type="dxa"/>
            <w:tcBorders>
              <w:top w:val="single" w:sz="4" w:space="0" w:color="auto"/>
              <w:left w:val="nil"/>
              <w:bottom w:val="single" w:sz="4" w:space="0" w:color="auto"/>
              <w:right w:val="single" w:sz="4" w:space="0" w:color="auto"/>
            </w:tcBorders>
            <w:shd w:val="clear" w:color="000000" w:fill="DAEEF3"/>
            <w:vAlign w:val="bottom"/>
            <w:hideMark/>
          </w:tcPr>
          <w:p w:rsidR="00B71254" w:rsidRPr="00FF75FD" w:rsidRDefault="00A47907" w:rsidP="00B71254">
            <w:pPr>
              <w:spacing w:after="0" w:line="240" w:lineRule="auto"/>
              <w:rPr>
                <w:rFonts w:ascii="MS PGothic" w:eastAsia="MS PGothic" w:hAnsi="MS PGothic" w:cs="MS PGothic"/>
                <w:b/>
                <w:bCs/>
                <w:color w:val="000000"/>
              </w:rPr>
            </w:pPr>
            <w:r w:rsidRPr="00FF75FD">
              <w:rPr>
                <w:rFonts w:ascii="MS PGothic" w:eastAsia="MS PGothic" w:hAnsi="MS PGothic" w:cs="MS PGothic"/>
                <w:b/>
                <w:bCs/>
                <w:color w:val="000000"/>
              </w:rPr>
              <w:t>User</w:t>
            </w:r>
            <w:r w:rsidR="00B71254" w:rsidRPr="00FF75FD">
              <w:rPr>
                <w:rFonts w:ascii="MS PGothic" w:eastAsia="MS PGothic" w:hAnsi="MS PGothic" w:cs="MS PGothic" w:hint="eastAsia"/>
                <w:b/>
                <w:bCs/>
                <w:color w:val="000000"/>
              </w:rPr>
              <w:t xml:space="preserve"> density (1 out of 3 operators)</w:t>
            </w:r>
          </w:p>
        </w:tc>
        <w:tc>
          <w:tcPr>
            <w:tcW w:w="1559" w:type="dxa"/>
            <w:tcBorders>
              <w:top w:val="single" w:sz="4" w:space="0" w:color="auto"/>
              <w:left w:val="nil"/>
              <w:bottom w:val="single" w:sz="4" w:space="0" w:color="auto"/>
              <w:right w:val="single" w:sz="4" w:space="0" w:color="auto"/>
            </w:tcBorders>
            <w:shd w:val="clear" w:color="000000" w:fill="DAEEF3"/>
            <w:vAlign w:val="bottom"/>
            <w:hideMark/>
          </w:tcPr>
          <w:p w:rsidR="00B71254" w:rsidRPr="00FF75FD" w:rsidRDefault="00B71254" w:rsidP="00B71254">
            <w:pPr>
              <w:spacing w:after="0" w:line="240" w:lineRule="auto"/>
              <w:rPr>
                <w:rFonts w:ascii="MS PGothic" w:eastAsia="MS PGothic" w:hAnsi="MS PGothic" w:cs="MS PGothic"/>
                <w:b/>
                <w:bCs/>
                <w:color w:val="000000"/>
              </w:rPr>
            </w:pPr>
            <w:r w:rsidRPr="00FF75FD">
              <w:rPr>
                <w:rFonts w:ascii="MS PGothic" w:eastAsia="MS PGothic" w:hAnsi="MS PGothic" w:cs="MS PGothic" w:hint="eastAsia"/>
                <w:b/>
                <w:bCs/>
                <w:color w:val="000000"/>
              </w:rPr>
              <w:t>Active user average data rate</w:t>
            </w:r>
          </w:p>
        </w:tc>
        <w:tc>
          <w:tcPr>
            <w:tcW w:w="1984" w:type="dxa"/>
            <w:tcBorders>
              <w:top w:val="single" w:sz="4" w:space="0" w:color="auto"/>
              <w:left w:val="nil"/>
              <w:bottom w:val="single" w:sz="4" w:space="0" w:color="auto"/>
              <w:right w:val="single" w:sz="4" w:space="0" w:color="auto"/>
            </w:tcBorders>
            <w:shd w:val="clear" w:color="000000" w:fill="DAEEF3"/>
            <w:vAlign w:val="bottom"/>
            <w:hideMark/>
          </w:tcPr>
          <w:p w:rsidR="00B71254" w:rsidRPr="00FF75FD" w:rsidRDefault="00B71254" w:rsidP="00B71254">
            <w:pPr>
              <w:spacing w:after="0" w:line="240" w:lineRule="auto"/>
              <w:rPr>
                <w:rFonts w:ascii="MS PGothic" w:eastAsia="MS PGothic" w:hAnsi="MS PGothic" w:cs="MS PGothic"/>
                <w:b/>
                <w:bCs/>
                <w:color w:val="000000"/>
              </w:rPr>
            </w:pPr>
            <w:r w:rsidRPr="00FF75FD">
              <w:rPr>
                <w:rFonts w:ascii="MS PGothic" w:eastAsia="MS PGothic" w:hAnsi="MS PGothic" w:cs="MS PGothic" w:hint="eastAsia"/>
                <w:b/>
                <w:bCs/>
                <w:color w:val="000000"/>
              </w:rPr>
              <w:t>Activity factor</w:t>
            </w:r>
          </w:p>
        </w:tc>
        <w:tc>
          <w:tcPr>
            <w:tcW w:w="2268" w:type="dxa"/>
            <w:tcBorders>
              <w:top w:val="single" w:sz="4" w:space="0" w:color="auto"/>
              <w:left w:val="nil"/>
              <w:bottom w:val="single" w:sz="4" w:space="0" w:color="auto"/>
              <w:right w:val="single" w:sz="4" w:space="0" w:color="auto"/>
            </w:tcBorders>
            <w:shd w:val="clear" w:color="000000" w:fill="DAEEF3"/>
            <w:vAlign w:val="bottom"/>
            <w:hideMark/>
          </w:tcPr>
          <w:p w:rsidR="000354AB" w:rsidRPr="00FF75FD" w:rsidRDefault="00163510">
            <w:pPr>
              <w:spacing w:after="0" w:line="240" w:lineRule="auto"/>
              <w:jc w:val="center"/>
              <w:rPr>
                <w:rFonts w:ascii="MS PGothic" w:eastAsia="MS PGothic" w:hAnsi="MS PGothic" w:cs="MS PGothic"/>
                <w:b/>
                <w:bCs/>
                <w:color w:val="000000"/>
              </w:rPr>
            </w:pPr>
            <w:r w:rsidRPr="00FF75FD">
              <w:rPr>
                <w:rFonts w:ascii="MS PGothic" w:eastAsia="MS PGothic" w:hAnsi="MS PGothic" w:cs="MS PGothic" w:hint="eastAsia"/>
                <w:b/>
                <w:bCs/>
                <w:color w:val="000000"/>
              </w:rPr>
              <w:t xml:space="preserve">Average </w:t>
            </w:r>
            <w:r w:rsidR="00A47907" w:rsidRPr="00FF75FD">
              <w:rPr>
                <w:rFonts w:ascii="MS PGothic" w:eastAsia="MS PGothic" w:hAnsi="MS PGothic" w:cs="MS PGothic"/>
                <w:b/>
                <w:bCs/>
                <w:color w:val="000000"/>
              </w:rPr>
              <w:t xml:space="preserve">user </w:t>
            </w:r>
            <w:r w:rsidRPr="00FF75FD">
              <w:rPr>
                <w:rFonts w:ascii="MS PGothic" w:eastAsia="MS PGothic" w:hAnsi="MS PGothic" w:cs="MS PGothic" w:hint="eastAsia"/>
                <w:b/>
                <w:bCs/>
                <w:color w:val="000000"/>
              </w:rPr>
              <w:t>busy hour</w:t>
            </w:r>
            <w:r w:rsidR="00B71254" w:rsidRPr="00FF75FD">
              <w:rPr>
                <w:rFonts w:ascii="MS PGothic" w:eastAsia="MS PGothic" w:hAnsi="MS PGothic" w:cs="MS PGothic" w:hint="eastAsia"/>
                <w:b/>
                <w:bCs/>
                <w:color w:val="000000"/>
              </w:rPr>
              <w:t xml:space="preserve"> usage rate</w:t>
            </w:r>
          </w:p>
        </w:tc>
        <w:tc>
          <w:tcPr>
            <w:tcW w:w="2286" w:type="dxa"/>
            <w:tcBorders>
              <w:top w:val="single" w:sz="4" w:space="0" w:color="auto"/>
              <w:left w:val="nil"/>
              <w:bottom w:val="single" w:sz="4" w:space="0" w:color="auto"/>
              <w:right w:val="single" w:sz="4" w:space="0" w:color="auto"/>
            </w:tcBorders>
            <w:shd w:val="clear" w:color="000000" w:fill="DAEEF3"/>
            <w:vAlign w:val="bottom"/>
            <w:hideMark/>
          </w:tcPr>
          <w:p w:rsidR="000354AB" w:rsidRPr="00FF75FD" w:rsidRDefault="00163510">
            <w:pPr>
              <w:spacing w:after="0" w:line="240" w:lineRule="auto"/>
              <w:jc w:val="center"/>
              <w:rPr>
                <w:rFonts w:ascii="MS PGothic" w:eastAsia="MS PGothic" w:hAnsi="MS PGothic" w:cs="MS PGothic"/>
                <w:b/>
                <w:bCs/>
                <w:color w:val="000000"/>
              </w:rPr>
            </w:pPr>
            <w:r w:rsidRPr="00FF75FD">
              <w:rPr>
                <w:rFonts w:ascii="MS PGothic" w:eastAsia="MS PGothic" w:hAnsi="MS PGothic" w:cs="MS PGothic" w:hint="eastAsia"/>
                <w:b/>
                <w:bCs/>
                <w:color w:val="000000"/>
              </w:rPr>
              <w:t>Area traffic capacity (</w:t>
            </w:r>
            <w:r w:rsidR="00B71254" w:rsidRPr="00FF75FD">
              <w:rPr>
                <w:rFonts w:ascii="MS PGothic" w:eastAsia="MS PGothic" w:hAnsi="MS PGothic" w:cs="MS PGothic" w:hint="eastAsia"/>
                <w:b/>
                <w:bCs/>
                <w:color w:val="000000"/>
              </w:rPr>
              <w:t>non-full buffer</w:t>
            </w:r>
            <w:r w:rsidRPr="00FF75FD">
              <w:rPr>
                <w:rFonts w:ascii="MS PGothic" w:eastAsia="MS PGothic" w:hAnsi="MS PGothic" w:cs="MS PGothic" w:hint="eastAsia"/>
                <w:b/>
                <w:bCs/>
                <w:color w:val="000000"/>
              </w:rPr>
              <w:t>)</w:t>
            </w:r>
          </w:p>
        </w:tc>
      </w:tr>
      <w:tr w:rsidR="00B71254" w:rsidRPr="00FF75FD" w:rsidTr="00B71254">
        <w:trPr>
          <w:trHeight w:val="1080"/>
        </w:trPr>
        <w:tc>
          <w:tcPr>
            <w:tcW w:w="1706" w:type="dxa"/>
            <w:tcBorders>
              <w:top w:val="nil"/>
              <w:left w:val="single" w:sz="4" w:space="0" w:color="auto"/>
              <w:bottom w:val="single" w:sz="4" w:space="0" w:color="auto"/>
              <w:right w:val="single" w:sz="4" w:space="0" w:color="auto"/>
            </w:tcBorders>
          </w:tcPr>
          <w:p w:rsidR="00B71254" w:rsidRPr="00FF75FD" w:rsidRDefault="00B71254" w:rsidP="00B71254">
            <w:pPr>
              <w:spacing w:after="0" w:line="240" w:lineRule="auto"/>
              <w:jc w:val="right"/>
              <w:rPr>
                <w:rFonts w:ascii="MS PGothic" w:eastAsia="MS PGothic" w:hAnsi="MS PGothic" w:cs="MS PGothic"/>
                <w:color w:val="000000"/>
              </w:rPr>
            </w:pPr>
          </w:p>
        </w:tc>
        <w:tc>
          <w:tcPr>
            <w:tcW w:w="1560" w:type="dxa"/>
            <w:tcBorders>
              <w:top w:val="nil"/>
              <w:left w:val="single" w:sz="4" w:space="0" w:color="auto"/>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per sq km</w:t>
            </w:r>
          </w:p>
        </w:tc>
        <w:tc>
          <w:tcPr>
            <w:tcW w:w="1701" w:type="dxa"/>
            <w:tcBorders>
              <w:top w:val="nil"/>
              <w:left w:val="nil"/>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per sq km</w:t>
            </w:r>
          </w:p>
        </w:tc>
        <w:tc>
          <w:tcPr>
            <w:tcW w:w="1559" w:type="dxa"/>
            <w:tcBorders>
              <w:top w:val="nil"/>
              <w:left w:val="nil"/>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Mbps</w:t>
            </w:r>
          </w:p>
        </w:tc>
        <w:tc>
          <w:tcPr>
            <w:tcW w:w="1984" w:type="dxa"/>
            <w:tcBorders>
              <w:top w:val="nil"/>
              <w:left w:val="nil"/>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w:t>
            </w:r>
          </w:p>
        </w:tc>
        <w:tc>
          <w:tcPr>
            <w:tcW w:w="2268" w:type="dxa"/>
            <w:tcBorders>
              <w:top w:val="nil"/>
              <w:left w:val="nil"/>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Mbps</w:t>
            </w:r>
          </w:p>
        </w:tc>
        <w:tc>
          <w:tcPr>
            <w:tcW w:w="2286" w:type="dxa"/>
            <w:tcBorders>
              <w:top w:val="nil"/>
              <w:left w:val="nil"/>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Gbps/sq km</w:t>
            </w:r>
          </w:p>
        </w:tc>
      </w:tr>
      <w:tr w:rsidR="00B71254" w:rsidRPr="00FF75FD" w:rsidTr="00B71254">
        <w:trPr>
          <w:trHeight w:val="270"/>
        </w:trPr>
        <w:tc>
          <w:tcPr>
            <w:tcW w:w="1706" w:type="dxa"/>
            <w:tcBorders>
              <w:top w:val="nil"/>
              <w:left w:val="single" w:sz="4" w:space="0" w:color="auto"/>
              <w:bottom w:val="single" w:sz="4" w:space="0" w:color="auto"/>
              <w:right w:val="single" w:sz="4" w:space="0" w:color="auto"/>
            </w:tcBorders>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Indoor</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250,000</w:t>
            </w:r>
          </w:p>
        </w:tc>
        <w:tc>
          <w:tcPr>
            <w:tcW w:w="1701"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250,000</w:t>
            </w:r>
          </w:p>
        </w:tc>
        <w:tc>
          <w:tcPr>
            <w:tcW w:w="1559"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200</w:t>
            </w:r>
          </w:p>
        </w:tc>
        <w:tc>
          <w:tcPr>
            <w:tcW w:w="1984"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30%</w:t>
            </w:r>
          </w:p>
        </w:tc>
        <w:tc>
          <w:tcPr>
            <w:tcW w:w="2268"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60</w:t>
            </w:r>
          </w:p>
        </w:tc>
        <w:tc>
          <w:tcPr>
            <w:tcW w:w="2286"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b/>
                <w:bCs/>
                <w:color w:val="000000"/>
              </w:rPr>
            </w:pPr>
            <w:r w:rsidRPr="00FF75FD">
              <w:rPr>
                <w:rFonts w:ascii="MS PGothic" w:eastAsia="MS PGothic" w:hAnsi="MS PGothic" w:cs="MS PGothic" w:hint="eastAsia"/>
                <w:b/>
                <w:bCs/>
                <w:color w:val="000000"/>
              </w:rPr>
              <w:t>15000</w:t>
            </w:r>
          </w:p>
        </w:tc>
      </w:tr>
      <w:tr w:rsidR="00B71254" w:rsidRPr="00FF75FD" w:rsidTr="00B71254">
        <w:trPr>
          <w:trHeight w:val="270"/>
        </w:trPr>
        <w:tc>
          <w:tcPr>
            <w:tcW w:w="1706" w:type="dxa"/>
            <w:tcBorders>
              <w:top w:val="nil"/>
              <w:left w:val="single" w:sz="4" w:space="0" w:color="auto"/>
              <w:bottom w:val="single" w:sz="4" w:space="0" w:color="auto"/>
              <w:right w:val="single" w:sz="4" w:space="0" w:color="auto"/>
            </w:tcBorders>
          </w:tcPr>
          <w:p w:rsidR="000354AB" w:rsidRPr="00FF75FD" w:rsidRDefault="00B71254">
            <w:pPr>
              <w:wordWrap w:val="0"/>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Dense Urban</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25,000</w:t>
            </w:r>
          </w:p>
        </w:tc>
        <w:tc>
          <w:tcPr>
            <w:tcW w:w="1701"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8333</w:t>
            </w:r>
          </w:p>
        </w:tc>
        <w:tc>
          <w:tcPr>
            <w:tcW w:w="1559"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300</w:t>
            </w:r>
          </w:p>
        </w:tc>
        <w:tc>
          <w:tcPr>
            <w:tcW w:w="1984"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w:t>
            </w:r>
          </w:p>
        </w:tc>
        <w:tc>
          <w:tcPr>
            <w:tcW w:w="2268"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30</w:t>
            </w:r>
          </w:p>
        </w:tc>
        <w:tc>
          <w:tcPr>
            <w:tcW w:w="2286"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b/>
                <w:bCs/>
                <w:color w:val="000000"/>
              </w:rPr>
            </w:pPr>
            <w:r w:rsidRPr="00FF75FD">
              <w:rPr>
                <w:rFonts w:ascii="MS PGothic" w:eastAsia="MS PGothic" w:hAnsi="MS PGothic" w:cs="MS PGothic" w:hint="eastAsia"/>
                <w:b/>
                <w:bCs/>
                <w:color w:val="000000"/>
              </w:rPr>
              <w:t>250</w:t>
            </w:r>
          </w:p>
        </w:tc>
      </w:tr>
      <w:tr w:rsidR="00B71254" w:rsidRPr="00FF75FD" w:rsidTr="00B71254">
        <w:trPr>
          <w:trHeight w:val="270"/>
        </w:trPr>
        <w:tc>
          <w:tcPr>
            <w:tcW w:w="1706" w:type="dxa"/>
            <w:tcBorders>
              <w:top w:val="nil"/>
              <w:left w:val="single" w:sz="4" w:space="0" w:color="auto"/>
              <w:bottom w:val="single" w:sz="4" w:space="0" w:color="auto"/>
              <w:right w:val="single" w:sz="4" w:space="0" w:color="auto"/>
            </w:tcBorders>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Urban</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3333</w:t>
            </w:r>
          </w:p>
        </w:tc>
        <w:tc>
          <w:tcPr>
            <w:tcW w:w="1559"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50</w:t>
            </w:r>
          </w:p>
        </w:tc>
        <w:tc>
          <w:tcPr>
            <w:tcW w:w="1984"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20%</w:t>
            </w:r>
          </w:p>
        </w:tc>
        <w:tc>
          <w:tcPr>
            <w:tcW w:w="2268"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w:t>
            </w:r>
          </w:p>
        </w:tc>
        <w:tc>
          <w:tcPr>
            <w:tcW w:w="2286"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b/>
                <w:bCs/>
                <w:color w:val="000000"/>
              </w:rPr>
            </w:pPr>
            <w:r w:rsidRPr="00FF75FD">
              <w:rPr>
                <w:rFonts w:ascii="MS PGothic" w:eastAsia="MS PGothic" w:hAnsi="MS PGothic" w:cs="MS PGothic" w:hint="eastAsia"/>
                <w:b/>
                <w:bCs/>
                <w:color w:val="000000"/>
              </w:rPr>
              <w:t>33</w:t>
            </w:r>
          </w:p>
        </w:tc>
      </w:tr>
      <w:tr w:rsidR="00B71254" w:rsidRPr="00FF75FD" w:rsidTr="00B71254">
        <w:trPr>
          <w:trHeight w:val="270"/>
        </w:trPr>
        <w:tc>
          <w:tcPr>
            <w:tcW w:w="1706" w:type="dxa"/>
            <w:tcBorders>
              <w:top w:val="nil"/>
              <w:left w:val="single" w:sz="4" w:space="0" w:color="auto"/>
              <w:bottom w:val="single" w:sz="4" w:space="0" w:color="auto"/>
              <w:right w:val="single" w:sz="4" w:space="0" w:color="auto"/>
            </w:tcBorders>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Rural</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100</w:t>
            </w:r>
          </w:p>
        </w:tc>
        <w:tc>
          <w:tcPr>
            <w:tcW w:w="1701"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33</w:t>
            </w:r>
          </w:p>
        </w:tc>
        <w:tc>
          <w:tcPr>
            <w:tcW w:w="1559"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50</w:t>
            </w:r>
          </w:p>
        </w:tc>
        <w:tc>
          <w:tcPr>
            <w:tcW w:w="1984"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20%</w:t>
            </w:r>
          </w:p>
        </w:tc>
        <w:tc>
          <w:tcPr>
            <w:tcW w:w="2268"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w:t>
            </w:r>
          </w:p>
        </w:tc>
        <w:tc>
          <w:tcPr>
            <w:tcW w:w="2286"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b/>
                <w:bCs/>
                <w:color w:val="000000"/>
              </w:rPr>
            </w:pPr>
            <w:r w:rsidRPr="00FF75FD">
              <w:rPr>
                <w:rFonts w:ascii="MS PGothic" w:eastAsia="MS PGothic" w:hAnsi="MS PGothic" w:cs="MS PGothic" w:hint="eastAsia"/>
                <w:b/>
                <w:bCs/>
                <w:color w:val="000000"/>
              </w:rPr>
              <w:t>0.33</w:t>
            </w:r>
          </w:p>
        </w:tc>
      </w:tr>
      <w:tr w:rsidR="00B71254" w:rsidRPr="00FF75FD" w:rsidTr="00B71254">
        <w:trPr>
          <w:trHeight w:val="270"/>
        </w:trPr>
        <w:tc>
          <w:tcPr>
            <w:tcW w:w="1706" w:type="dxa"/>
            <w:tcBorders>
              <w:top w:val="nil"/>
              <w:left w:val="single" w:sz="4" w:space="0" w:color="auto"/>
              <w:bottom w:val="single" w:sz="4" w:space="0" w:color="auto"/>
              <w:right w:val="single" w:sz="4" w:space="0" w:color="auto"/>
            </w:tcBorders>
          </w:tcPr>
          <w:p w:rsidR="000354AB" w:rsidRPr="00FF75FD" w:rsidRDefault="00B71254">
            <w:pPr>
              <w:wordWrap w:val="0"/>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High speed</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1000/train</w:t>
            </w:r>
          </w:p>
        </w:tc>
        <w:tc>
          <w:tcPr>
            <w:tcW w:w="1701"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1000/train</w:t>
            </w:r>
          </w:p>
        </w:tc>
        <w:tc>
          <w:tcPr>
            <w:tcW w:w="1559"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50</w:t>
            </w:r>
          </w:p>
        </w:tc>
        <w:tc>
          <w:tcPr>
            <w:tcW w:w="1984"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30%</w:t>
            </w:r>
          </w:p>
        </w:tc>
        <w:tc>
          <w:tcPr>
            <w:tcW w:w="2268"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15</w:t>
            </w:r>
          </w:p>
        </w:tc>
        <w:tc>
          <w:tcPr>
            <w:tcW w:w="2286"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FF75FD">
            <w:pPr>
              <w:pStyle w:val="Listenabsatz"/>
              <w:numPr>
                <w:ilvl w:val="0"/>
                <w:numId w:val="31"/>
              </w:numPr>
              <w:spacing w:after="0" w:line="240" w:lineRule="auto"/>
              <w:jc w:val="right"/>
              <w:rPr>
                <w:rFonts w:ascii="MS PGothic" w:eastAsia="MS PGothic" w:hAnsi="MS PGothic" w:cs="MS PGothic"/>
                <w:b/>
                <w:bCs/>
                <w:color w:val="000000"/>
              </w:rPr>
            </w:pPr>
            <w:r w:rsidRPr="00FF75FD">
              <w:rPr>
                <w:rFonts w:ascii="MS PGothic" w:eastAsia="MS PGothic" w:hAnsi="MS PGothic" w:cs="MS PGothic" w:hint="eastAsia"/>
                <w:b/>
                <w:bCs/>
                <w:color w:val="000000"/>
              </w:rPr>
              <w:t>bps/train</w:t>
            </w:r>
          </w:p>
        </w:tc>
      </w:tr>
    </w:tbl>
    <w:p w:rsidR="00DA4228" w:rsidRDefault="00DA4228" w:rsidP="00DA4228">
      <w:pPr>
        <w:rPr>
          <w:rFonts w:eastAsia="MS Mincho"/>
          <w:b/>
          <w:color w:val="365F91"/>
          <w:sz w:val="28"/>
          <w:szCs w:val="28"/>
        </w:rPr>
      </w:pPr>
    </w:p>
    <w:p w:rsidR="00DA4228" w:rsidRDefault="00DA4228">
      <w:pPr>
        <w:rPr>
          <w:rFonts w:eastAsia="MS Mincho"/>
          <w:b/>
          <w:color w:val="365F91"/>
          <w:sz w:val="28"/>
          <w:szCs w:val="28"/>
        </w:rPr>
      </w:pPr>
      <w:r>
        <w:rPr>
          <w:rFonts w:eastAsia="MS Mincho"/>
          <w:b/>
          <w:color w:val="365F91"/>
          <w:sz w:val="28"/>
          <w:szCs w:val="28"/>
        </w:rPr>
        <w:br w:type="page"/>
      </w:r>
    </w:p>
    <w:p w:rsidR="00DA4228" w:rsidRPr="00DA4228" w:rsidRDefault="00DA4228" w:rsidP="00DA4228">
      <w:pPr>
        <w:rPr>
          <w:rFonts w:eastAsia="MS Mincho"/>
          <w:b/>
          <w:color w:val="365F91"/>
          <w:sz w:val="28"/>
          <w:szCs w:val="28"/>
        </w:rPr>
      </w:pPr>
    </w:p>
    <w:p w:rsidR="00B71254" w:rsidRPr="00FF75FD" w:rsidRDefault="00B81428" w:rsidP="00FF75FD">
      <w:pPr>
        <w:pStyle w:val="Listenabsatz"/>
        <w:numPr>
          <w:ilvl w:val="0"/>
          <w:numId w:val="30"/>
        </w:numPr>
        <w:rPr>
          <w:rFonts w:eastAsia="MS Mincho"/>
          <w:b/>
          <w:color w:val="365F91"/>
          <w:sz w:val="28"/>
          <w:szCs w:val="28"/>
        </w:rPr>
      </w:pPr>
      <w:r w:rsidRPr="00FF75FD">
        <w:rPr>
          <w:rFonts w:eastAsia="MS Mincho"/>
          <w:b/>
          <w:color w:val="365F91"/>
          <w:sz w:val="28"/>
          <w:szCs w:val="28"/>
        </w:rPr>
        <w:t>Uplink:</w:t>
      </w:r>
    </w:p>
    <w:tbl>
      <w:tblPr>
        <w:tblW w:w="13064" w:type="dxa"/>
        <w:tblInd w:w="94" w:type="dxa"/>
        <w:tblCellMar>
          <w:left w:w="99" w:type="dxa"/>
          <w:right w:w="99" w:type="dxa"/>
        </w:tblCellMar>
        <w:tblLook w:val="04A0" w:firstRow="1" w:lastRow="0" w:firstColumn="1" w:lastColumn="0" w:noHBand="0" w:noVBand="1"/>
      </w:tblPr>
      <w:tblGrid>
        <w:gridCol w:w="1706"/>
        <w:gridCol w:w="1560"/>
        <w:gridCol w:w="1701"/>
        <w:gridCol w:w="1559"/>
        <w:gridCol w:w="1984"/>
        <w:gridCol w:w="2268"/>
        <w:gridCol w:w="2286"/>
      </w:tblGrid>
      <w:tr w:rsidR="00B71254" w:rsidRPr="00FF75FD" w:rsidTr="00B71254">
        <w:trPr>
          <w:trHeight w:val="872"/>
        </w:trPr>
        <w:tc>
          <w:tcPr>
            <w:tcW w:w="1706" w:type="dxa"/>
            <w:tcBorders>
              <w:top w:val="single" w:sz="4" w:space="0" w:color="auto"/>
              <w:left w:val="single" w:sz="4" w:space="0" w:color="auto"/>
              <w:bottom w:val="single" w:sz="4" w:space="0" w:color="auto"/>
              <w:right w:val="single" w:sz="4" w:space="0" w:color="auto"/>
            </w:tcBorders>
            <w:shd w:val="clear" w:color="000000" w:fill="DAEEF3"/>
          </w:tcPr>
          <w:p w:rsidR="00B71254" w:rsidRPr="00FF75FD" w:rsidRDefault="00B71254" w:rsidP="00B71254">
            <w:pPr>
              <w:spacing w:after="0" w:line="240" w:lineRule="auto"/>
              <w:rPr>
                <w:rFonts w:ascii="MS PGothic" w:eastAsia="MS PGothic" w:hAnsi="MS PGothic" w:cs="MS PGothic"/>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000000" w:fill="DAEEF3"/>
            <w:vAlign w:val="bottom"/>
            <w:hideMark/>
          </w:tcPr>
          <w:p w:rsidR="00B71254" w:rsidRPr="00FF75FD" w:rsidRDefault="00A47907" w:rsidP="00B71254">
            <w:pPr>
              <w:spacing w:after="0" w:line="240" w:lineRule="auto"/>
              <w:rPr>
                <w:rFonts w:ascii="MS PGothic" w:eastAsia="MS PGothic" w:hAnsi="MS PGothic" w:cs="MS PGothic"/>
                <w:b/>
                <w:bCs/>
                <w:color w:val="000000"/>
              </w:rPr>
            </w:pPr>
            <w:r w:rsidRPr="00FF75FD">
              <w:rPr>
                <w:rFonts w:ascii="MS PGothic" w:eastAsia="MS PGothic" w:hAnsi="MS PGothic" w:cs="MS PGothic"/>
                <w:b/>
                <w:bCs/>
                <w:color w:val="000000"/>
              </w:rPr>
              <w:t>Overall</w:t>
            </w:r>
            <w:r w:rsidR="00B71254" w:rsidRPr="00FF75FD">
              <w:rPr>
                <w:rFonts w:ascii="MS PGothic" w:eastAsia="MS PGothic" w:hAnsi="MS PGothic" w:cs="MS PGothic" w:hint="eastAsia"/>
                <w:b/>
                <w:bCs/>
                <w:color w:val="000000"/>
              </w:rPr>
              <w:t xml:space="preserve"> </w:t>
            </w:r>
            <w:r w:rsidRPr="00FF75FD">
              <w:rPr>
                <w:rFonts w:ascii="MS PGothic" w:eastAsia="MS PGothic" w:hAnsi="MS PGothic" w:cs="MS PGothic"/>
                <w:b/>
                <w:bCs/>
                <w:color w:val="000000"/>
              </w:rPr>
              <w:t>User</w:t>
            </w:r>
            <w:r w:rsidR="00B71254" w:rsidRPr="00FF75FD">
              <w:rPr>
                <w:rFonts w:ascii="MS PGothic" w:eastAsia="MS PGothic" w:hAnsi="MS PGothic" w:cs="MS PGothic" w:hint="eastAsia"/>
                <w:b/>
                <w:bCs/>
                <w:color w:val="000000"/>
              </w:rPr>
              <w:t xml:space="preserve"> density</w:t>
            </w:r>
          </w:p>
        </w:tc>
        <w:tc>
          <w:tcPr>
            <w:tcW w:w="1701" w:type="dxa"/>
            <w:tcBorders>
              <w:top w:val="single" w:sz="4" w:space="0" w:color="auto"/>
              <w:left w:val="nil"/>
              <w:bottom w:val="single" w:sz="4" w:space="0" w:color="auto"/>
              <w:right w:val="single" w:sz="4" w:space="0" w:color="auto"/>
            </w:tcBorders>
            <w:shd w:val="clear" w:color="000000" w:fill="DAEEF3"/>
            <w:vAlign w:val="bottom"/>
            <w:hideMark/>
          </w:tcPr>
          <w:p w:rsidR="00B71254" w:rsidRPr="00FF75FD" w:rsidRDefault="00A47907" w:rsidP="00B71254">
            <w:pPr>
              <w:spacing w:after="0" w:line="240" w:lineRule="auto"/>
              <w:rPr>
                <w:rFonts w:ascii="MS PGothic" w:eastAsia="MS PGothic" w:hAnsi="MS PGothic" w:cs="MS PGothic"/>
                <w:b/>
                <w:bCs/>
                <w:color w:val="000000"/>
              </w:rPr>
            </w:pPr>
            <w:r w:rsidRPr="00FF75FD">
              <w:rPr>
                <w:rFonts w:ascii="MS PGothic" w:eastAsia="MS PGothic" w:hAnsi="MS PGothic" w:cs="MS PGothic"/>
                <w:b/>
                <w:bCs/>
                <w:color w:val="000000"/>
              </w:rPr>
              <w:t>User</w:t>
            </w:r>
            <w:r w:rsidR="00B71254" w:rsidRPr="00FF75FD">
              <w:rPr>
                <w:rFonts w:ascii="MS PGothic" w:eastAsia="MS PGothic" w:hAnsi="MS PGothic" w:cs="MS PGothic" w:hint="eastAsia"/>
                <w:b/>
                <w:bCs/>
                <w:color w:val="000000"/>
              </w:rPr>
              <w:t xml:space="preserve"> density (1 out of 3 operators)</w:t>
            </w:r>
          </w:p>
        </w:tc>
        <w:tc>
          <w:tcPr>
            <w:tcW w:w="1559" w:type="dxa"/>
            <w:tcBorders>
              <w:top w:val="single" w:sz="4" w:space="0" w:color="auto"/>
              <w:left w:val="nil"/>
              <w:bottom w:val="single" w:sz="4" w:space="0" w:color="auto"/>
              <w:right w:val="single" w:sz="4" w:space="0" w:color="auto"/>
            </w:tcBorders>
            <w:shd w:val="clear" w:color="000000" w:fill="DAEEF3"/>
            <w:vAlign w:val="bottom"/>
            <w:hideMark/>
          </w:tcPr>
          <w:p w:rsidR="00B71254" w:rsidRPr="00FF75FD" w:rsidRDefault="00B71254" w:rsidP="00B71254">
            <w:pPr>
              <w:spacing w:after="0" w:line="240" w:lineRule="auto"/>
              <w:rPr>
                <w:rFonts w:ascii="MS PGothic" w:eastAsia="MS PGothic" w:hAnsi="MS PGothic" w:cs="MS PGothic"/>
                <w:b/>
                <w:bCs/>
                <w:color w:val="000000"/>
              </w:rPr>
            </w:pPr>
            <w:r w:rsidRPr="00FF75FD">
              <w:rPr>
                <w:rFonts w:ascii="MS PGothic" w:eastAsia="MS PGothic" w:hAnsi="MS PGothic" w:cs="MS PGothic" w:hint="eastAsia"/>
                <w:b/>
                <w:bCs/>
                <w:color w:val="000000"/>
              </w:rPr>
              <w:t>Active user average data rate</w:t>
            </w:r>
          </w:p>
        </w:tc>
        <w:tc>
          <w:tcPr>
            <w:tcW w:w="1984" w:type="dxa"/>
            <w:tcBorders>
              <w:top w:val="single" w:sz="4" w:space="0" w:color="auto"/>
              <w:left w:val="nil"/>
              <w:bottom w:val="single" w:sz="4" w:space="0" w:color="auto"/>
              <w:right w:val="single" w:sz="4" w:space="0" w:color="auto"/>
            </w:tcBorders>
            <w:shd w:val="clear" w:color="000000" w:fill="DAEEF3"/>
            <w:vAlign w:val="bottom"/>
            <w:hideMark/>
          </w:tcPr>
          <w:p w:rsidR="00B71254" w:rsidRPr="00FF75FD" w:rsidRDefault="00B71254" w:rsidP="00B71254">
            <w:pPr>
              <w:spacing w:after="0" w:line="240" w:lineRule="auto"/>
              <w:rPr>
                <w:rFonts w:ascii="MS PGothic" w:eastAsia="MS PGothic" w:hAnsi="MS PGothic" w:cs="MS PGothic"/>
                <w:b/>
                <w:bCs/>
                <w:color w:val="000000"/>
              </w:rPr>
            </w:pPr>
            <w:r w:rsidRPr="00FF75FD">
              <w:rPr>
                <w:rFonts w:ascii="MS PGothic" w:eastAsia="MS PGothic" w:hAnsi="MS PGothic" w:cs="MS PGothic" w:hint="eastAsia"/>
                <w:b/>
                <w:bCs/>
                <w:color w:val="000000"/>
              </w:rPr>
              <w:t>Activity factor</w:t>
            </w:r>
          </w:p>
        </w:tc>
        <w:tc>
          <w:tcPr>
            <w:tcW w:w="2268" w:type="dxa"/>
            <w:tcBorders>
              <w:top w:val="single" w:sz="4" w:space="0" w:color="auto"/>
              <w:left w:val="nil"/>
              <w:bottom w:val="single" w:sz="4" w:space="0" w:color="auto"/>
              <w:right w:val="single" w:sz="4" w:space="0" w:color="auto"/>
            </w:tcBorders>
            <w:shd w:val="clear" w:color="000000" w:fill="DAEEF3"/>
            <w:vAlign w:val="bottom"/>
            <w:hideMark/>
          </w:tcPr>
          <w:p w:rsidR="000354AB" w:rsidRPr="00FF75FD" w:rsidRDefault="00163510">
            <w:pPr>
              <w:spacing w:after="0" w:line="240" w:lineRule="auto"/>
              <w:jc w:val="center"/>
              <w:rPr>
                <w:rFonts w:ascii="MS PGothic" w:eastAsia="MS PGothic" w:hAnsi="MS PGothic" w:cs="MS PGothic"/>
                <w:b/>
                <w:bCs/>
                <w:color w:val="000000"/>
              </w:rPr>
            </w:pPr>
            <w:r w:rsidRPr="00FF75FD">
              <w:rPr>
                <w:rFonts w:ascii="MS PGothic" w:eastAsia="MS PGothic" w:hAnsi="MS PGothic" w:cs="MS PGothic" w:hint="eastAsia"/>
                <w:b/>
                <w:bCs/>
                <w:color w:val="000000"/>
              </w:rPr>
              <w:t xml:space="preserve">Average </w:t>
            </w:r>
            <w:r w:rsidR="00A47907" w:rsidRPr="00FF75FD">
              <w:rPr>
                <w:rFonts w:ascii="MS PGothic" w:eastAsia="MS PGothic" w:hAnsi="MS PGothic" w:cs="MS PGothic"/>
                <w:b/>
                <w:bCs/>
                <w:color w:val="000000"/>
              </w:rPr>
              <w:t>user</w:t>
            </w:r>
            <w:r w:rsidRPr="00FF75FD">
              <w:rPr>
                <w:rFonts w:ascii="MS PGothic" w:eastAsia="MS PGothic" w:hAnsi="MS PGothic" w:cs="MS PGothic" w:hint="eastAsia"/>
                <w:b/>
                <w:bCs/>
                <w:color w:val="000000"/>
              </w:rPr>
              <w:t xml:space="preserve"> busy hour</w:t>
            </w:r>
            <w:r w:rsidR="00B71254" w:rsidRPr="00FF75FD">
              <w:rPr>
                <w:rFonts w:ascii="MS PGothic" w:eastAsia="MS PGothic" w:hAnsi="MS PGothic" w:cs="MS PGothic" w:hint="eastAsia"/>
                <w:b/>
                <w:bCs/>
                <w:color w:val="000000"/>
              </w:rPr>
              <w:t xml:space="preserve"> usage rate</w:t>
            </w:r>
          </w:p>
        </w:tc>
        <w:tc>
          <w:tcPr>
            <w:tcW w:w="2286" w:type="dxa"/>
            <w:tcBorders>
              <w:top w:val="single" w:sz="4" w:space="0" w:color="auto"/>
              <w:left w:val="nil"/>
              <w:bottom w:val="single" w:sz="4" w:space="0" w:color="auto"/>
              <w:right w:val="single" w:sz="4" w:space="0" w:color="auto"/>
            </w:tcBorders>
            <w:shd w:val="clear" w:color="000000" w:fill="DAEEF3"/>
            <w:vAlign w:val="bottom"/>
            <w:hideMark/>
          </w:tcPr>
          <w:p w:rsidR="000354AB" w:rsidRPr="00FF75FD" w:rsidRDefault="00163510">
            <w:pPr>
              <w:spacing w:after="0" w:line="240" w:lineRule="auto"/>
              <w:jc w:val="center"/>
              <w:rPr>
                <w:rFonts w:ascii="MS PGothic" w:eastAsia="MS PGothic" w:hAnsi="MS PGothic" w:cs="MS PGothic"/>
                <w:b/>
                <w:bCs/>
                <w:color w:val="000000"/>
              </w:rPr>
            </w:pPr>
            <w:r w:rsidRPr="00FF75FD">
              <w:rPr>
                <w:rFonts w:ascii="MS PGothic" w:eastAsia="MS PGothic" w:hAnsi="MS PGothic" w:cs="MS PGothic" w:hint="eastAsia"/>
                <w:b/>
                <w:bCs/>
                <w:color w:val="000000"/>
              </w:rPr>
              <w:t>Area traffic capacity (</w:t>
            </w:r>
            <w:r w:rsidR="00B71254" w:rsidRPr="00FF75FD">
              <w:rPr>
                <w:rFonts w:ascii="MS PGothic" w:eastAsia="MS PGothic" w:hAnsi="MS PGothic" w:cs="MS PGothic" w:hint="eastAsia"/>
                <w:b/>
                <w:bCs/>
                <w:color w:val="000000"/>
              </w:rPr>
              <w:t>non-full buffer</w:t>
            </w:r>
            <w:r w:rsidRPr="00FF75FD">
              <w:rPr>
                <w:rFonts w:ascii="MS PGothic" w:eastAsia="MS PGothic" w:hAnsi="MS PGothic" w:cs="MS PGothic" w:hint="eastAsia"/>
                <w:b/>
                <w:bCs/>
                <w:color w:val="000000"/>
              </w:rPr>
              <w:t>)</w:t>
            </w:r>
          </w:p>
        </w:tc>
      </w:tr>
      <w:tr w:rsidR="00B71254" w:rsidRPr="00FF75FD" w:rsidTr="00B71254">
        <w:trPr>
          <w:trHeight w:val="1080"/>
        </w:trPr>
        <w:tc>
          <w:tcPr>
            <w:tcW w:w="1706" w:type="dxa"/>
            <w:tcBorders>
              <w:top w:val="nil"/>
              <w:left w:val="single" w:sz="4" w:space="0" w:color="auto"/>
              <w:bottom w:val="single" w:sz="4" w:space="0" w:color="auto"/>
              <w:right w:val="single" w:sz="4" w:space="0" w:color="auto"/>
            </w:tcBorders>
          </w:tcPr>
          <w:p w:rsidR="00B71254" w:rsidRPr="00FF75FD" w:rsidRDefault="00B71254" w:rsidP="00B71254">
            <w:pPr>
              <w:spacing w:after="0" w:line="240" w:lineRule="auto"/>
              <w:jc w:val="right"/>
              <w:rPr>
                <w:rFonts w:ascii="MS PGothic" w:eastAsia="MS PGothic" w:hAnsi="MS PGothic" w:cs="MS PGothic"/>
                <w:color w:val="000000"/>
              </w:rPr>
            </w:pPr>
          </w:p>
        </w:tc>
        <w:tc>
          <w:tcPr>
            <w:tcW w:w="1560" w:type="dxa"/>
            <w:tcBorders>
              <w:top w:val="nil"/>
              <w:left w:val="single" w:sz="4" w:space="0" w:color="auto"/>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per sq km</w:t>
            </w:r>
          </w:p>
        </w:tc>
        <w:tc>
          <w:tcPr>
            <w:tcW w:w="1701" w:type="dxa"/>
            <w:tcBorders>
              <w:top w:val="nil"/>
              <w:left w:val="nil"/>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per sq km</w:t>
            </w:r>
          </w:p>
        </w:tc>
        <w:tc>
          <w:tcPr>
            <w:tcW w:w="1559" w:type="dxa"/>
            <w:tcBorders>
              <w:top w:val="nil"/>
              <w:left w:val="nil"/>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Mbps</w:t>
            </w:r>
          </w:p>
        </w:tc>
        <w:tc>
          <w:tcPr>
            <w:tcW w:w="1984" w:type="dxa"/>
            <w:tcBorders>
              <w:top w:val="nil"/>
              <w:left w:val="nil"/>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w:t>
            </w:r>
          </w:p>
        </w:tc>
        <w:tc>
          <w:tcPr>
            <w:tcW w:w="2268" w:type="dxa"/>
            <w:tcBorders>
              <w:top w:val="nil"/>
              <w:left w:val="nil"/>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Mbps</w:t>
            </w:r>
          </w:p>
        </w:tc>
        <w:tc>
          <w:tcPr>
            <w:tcW w:w="2286" w:type="dxa"/>
            <w:tcBorders>
              <w:top w:val="nil"/>
              <w:left w:val="nil"/>
              <w:bottom w:val="single" w:sz="4" w:space="0" w:color="auto"/>
              <w:right w:val="single" w:sz="4" w:space="0" w:color="auto"/>
            </w:tcBorders>
            <w:shd w:val="clear" w:color="auto" w:fill="auto"/>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Gbps/sq km</w:t>
            </w:r>
          </w:p>
        </w:tc>
      </w:tr>
      <w:tr w:rsidR="00B71254" w:rsidRPr="00FF75FD" w:rsidTr="00B71254">
        <w:trPr>
          <w:trHeight w:val="270"/>
        </w:trPr>
        <w:tc>
          <w:tcPr>
            <w:tcW w:w="1706" w:type="dxa"/>
            <w:tcBorders>
              <w:top w:val="nil"/>
              <w:left w:val="single" w:sz="4" w:space="0" w:color="auto"/>
              <w:bottom w:val="single" w:sz="4" w:space="0" w:color="auto"/>
              <w:right w:val="single" w:sz="4" w:space="0" w:color="auto"/>
            </w:tcBorders>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Indoor</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250,000</w:t>
            </w:r>
          </w:p>
        </w:tc>
        <w:tc>
          <w:tcPr>
            <w:tcW w:w="1701"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250000</w:t>
            </w:r>
          </w:p>
        </w:tc>
        <w:tc>
          <w:tcPr>
            <w:tcW w:w="1559"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26.67</w:t>
            </w:r>
          </w:p>
        </w:tc>
        <w:tc>
          <w:tcPr>
            <w:tcW w:w="1984"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30%</w:t>
            </w:r>
          </w:p>
        </w:tc>
        <w:tc>
          <w:tcPr>
            <w:tcW w:w="2268"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8.0</w:t>
            </w:r>
          </w:p>
        </w:tc>
        <w:tc>
          <w:tcPr>
            <w:tcW w:w="2286"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b/>
                <w:bCs/>
                <w:color w:val="000000"/>
              </w:rPr>
            </w:pPr>
            <w:r w:rsidRPr="00FF75FD">
              <w:rPr>
                <w:rFonts w:ascii="MS PGothic" w:eastAsia="MS PGothic" w:hAnsi="MS PGothic" w:cs="MS PGothic" w:hint="eastAsia"/>
                <w:b/>
                <w:bCs/>
                <w:color w:val="000000"/>
              </w:rPr>
              <w:t>2000</w:t>
            </w:r>
          </w:p>
        </w:tc>
      </w:tr>
      <w:tr w:rsidR="00B71254" w:rsidRPr="00FF75FD" w:rsidTr="00B71254">
        <w:trPr>
          <w:trHeight w:val="270"/>
        </w:trPr>
        <w:tc>
          <w:tcPr>
            <w:tcW w:w="1706" w:type="dxa"/>
            <w:tcBorders>
              <w:top w:val="nil"/>
              <w:left w:val="single" w:sz="4" w:space="0" w:color="auto"/>
              <w:bottom w:val="single" w:sz="4" w:space="0" w:color="auto"/>
              <w:right w:val="single" w:sz="4" w:space="0" w:color="auto"/>
            </w:tcBorders>
          </w:tcPr>
          <w:p w:rsidR="00B71254" w:rsidRPr="00FF75FD" w:rsidRDefault="00B71254" w:rsidP="00B71254">
            <w:pPr>
              <w:wordWrap w:val="0"/>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Dense Urban</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71254" w:rsidRPr="00FF75FD" w:rsidRDefault="00C96A78"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color w:val="000000"/>
              </w:rPr>
              <w:t>2</w:t>
            </w:r>
            <w:r w:rsidR="00B71254" w:rsidRPr="00FF75FD">
              <w:rPr>
                <w:rFonts w:ascii="MS PGothic" w:eastAsia="MS PGothic" w:hAnsi="MS PGothic" w:cs="MS PGothic" w:hint="eastAsia"/>
                <w:color w:val="000000"/>
              </w:rPr>
              <w:t>5,000</w:t>
            </w:r>
          </w:p>
        </w:tc>
        <w:tc>
          <w:tcPr>
            <w:tcW w:w="1701" w:type="dxa"/>
            <w:tcBorders>
              <w:top w:val="nil"/>
              <w:left w:val="nil"/>
              <w:bottom w:val="single" w:sz="4" w:space="0" w:color="auto"/>
              <w:right w:val="single" w:sz="4" w:space="0" w:color="auto"/>
            </w:tcBorders>
            <w:shd w:val="clear" w:color="auto" w:fill="auto"/>
            <w:noWrap/>
            <w:vAlign w:val="bottom"/>
            <w:hideMark/>
          </w:tcPr>
          <w:p w:rsidR="00B71254" w:rsidRPr="00FF75FD" w:rsidRDefault="00C96A78"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color w:val="000000"/>
              </w:rPr>
              <w:t>8333</w:t>
            </w:r>
          </w:p>
        </w:tc>
        <w:tc>
          <w:tcPr>
            <w:tcW w:w="1559"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50</w:t>
            </w:r>
          </w:p>
        </w:tc>
        <w:tc>
          <w:tcPr>
            <w:tcW w:w="1984"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w:t>
            </w:r>
          </w:p>
        </w:tc>
        <w:tc>
          <w:tcPr>
            <w:tcW w:w="2268"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5</w:t>
            </w:r>
          </w:p>
        </w:tc>
        <w:tc>
          <w:tcPr>
            <w:tcW w:w="2286" w:type="dxa"/>
            <w:tcBorders>
              <w:top w:val="nil"/>
              <w:left w:val="nil"/>
              <w:bottom w:val="single" w:sz="4" w:space="0" w:color="auto"/>
              <w:right w:val="single" w:sz="4" w:space="0" w:color="auto"/>
            </w:tcBorders>
            <w:shd w:val="clear" w:color="auto" w:fill="auto"/>
            <w:noWrap/>
            <w:vAlign w:val="bottom"/>
            <w:hideMark/>
          </w:tcPr>
          <w:p w:rsidR="00B71254" w:rsidRPr="00FF75FD" w:rsidRDefault="00C96A78" w:rsidP="00B71254">
            <w:pPr>
              <w:spacing w:after="0" w:line="240" w:lineRule="auto"/>
              <w:jc w:val="right"/>
              <w:rPr>
                <w:rFonts w:ascii="MS PGothic" w:eastAsia="MS PGothic" w:hAnsi="MS PGothic" w:cs="MS PGothic"/>
                <w:b/>
                <w:bCs/>
                <w:color w:val="000000"/>
              </w:rPr>
            </w:pPr>
            <w:r w:rsidRPr="00FF75FD">
              <w:rPr>
                <w:rFonts w:ascii="MS PGothic" w:eastAsia="MS PGothic" w:hAnsi="MS PGothic" w:cs="MS PGothic"/>
                <w:b/>
                <w:bCs/>
                <w:color w:val="000000"/>
              </w:rPr>
              <w:t>42</w:t>
            </w:r>
          </w:p>
        </w:tc>
      </w:tr>
      <w:tr w:rsidR="00B71254" w:rsidRPr="00FF75FD" w:rsidTr="00B71254">
        <w:trPr>
          <w:trHeight w:val="270"/>
        </w:trPr>
        <w:tc>
          <w:tcPr>
            <w:tcW w:w="1706" w:type="dxa"/>
            <w:tcBorders>
              <w:top w:val="nil"/>
              <w:left w:val="single" w:sz="4" w:space="0" w:color="auto"/>
              <w:bottom w:val="single" w:sz="4" w:space="0" w:color="auto"/>
              <w:right w:val="single" w:sz="4" w:space="0" w:color="auto"/>
            </w:tcBorders>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Urban</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10,000</w:t>
            </w:r>
          </w:p>
        </w:tc>
        <w:tc>
          <w:tcPr>
            <w:tcW w:w="1701"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3333</w:t>
            </w:r>
          </w:p>
        </w:tc>
        <w:tc>
          <w:tcPr>
            <w:tcW w:w="1559"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25</w:t>
            </w:r>
          </w:p>
        </w:tc>
        <w:tc>
          <w:tcPr>
            <w:tcW w:w="1984"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20%</w:t>
            </w:r>
          </w:p>
        </w:tc>
        <w:tc>
          <w:tcPr>
            <w:tcW w:w="2268"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5</w:t>
            </w:r>
          </w:p>
        </w:tc>
        <w:tc>
          <w:tcPr>
            <w:tcW w:w="2286"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b/>
                <w:bCs/>
                <w:color w:val="000000"/>
              </w:rPr>
            </w:pPr>
            <w:r w:rsidRPr="00FF75FD">
              <w:rPr>
                <w:rFonts w:ascii="MS PGothic" w:eastAsia="MS PGothic" w:hAnsi="MS PGothic" w:cs="MS PGothic" w:hint="eastAsia"/>
                <w:b/>
                <w:bCs/>
                <w:color w:val="000000"/>
              </w:rPr>
              <w:t>17</w:t>
            </w:r>
          </w:p>
        </w:tc>
      </w:tr>
      <w:tr w:rsidR="00B71254" w:rsidRPr="00FF75FD" w:rsidTr="00B71254">
        <w:trPr>
          <w:trHeight w:val="270"/>
        </w:trPr>
        <w:tc>
          <w:tcPr>
            <w:tcW w:w="1706" w:type="dxa"/>
            <w:tcBorders>
              <w:top w:val="nil"/>
              <w:left w:val="single" w:sz="4" w:space="0" w:color="auto"/>
              <w:bottom w:val="single" w:sz="4" w:space="0" w:color="auto"/>
              <w:right w:val="single" w:sz="4" w:space="0" w:color="auto"/>
            </w:tcBorders>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Rural</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100</w:t>
            </w:r>
          </w:p>
        </w:tc>
        <w:tc>
          <w:tcPr>
            <w:tcW w:w="1701"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33</w:t>
            </w:r>
          </w:p>
        </w:tc>
        <w:tc>
          <w:tcPr>
            <w:tcW w:w="1559"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25</w:t>
            </w:r>
          </w:p>
        </w:tc>
        <w:tc>
          <w:tcPr>
            <w:tcW w:w="1984"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20%</w:t>
            </w:r>
          </w:p>
        </w:tc>
        <w:tc>
          <w:tcPr>
            <w:tcW w:w="2268"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5</w:t>
            </w:r>
          </w:p>
        </w:tc>
        <w:tc>
          <w:tcPr>
            <w:tcW w:w="2286" w:type="dxa"/>
            <w:tcBorders>
              <w:top w:val="nil"/>
              <w:left w:val="nil"/>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b/>
                <w:bCs/>
                <w:color w:val="000000"/>
              </w:rPr>
            </w:pPr>
            <w:r w:rsidRPr="00FF75FD">
              <w:rPr>
                <w:rFonts w:ascii="MS PGothic" w:eastAsia="MS PGothic" w:hAnsi="MS PGothic" w:cs="MS PGothic" w:hint="eastAsia"/>
                <w:b/>
                <w:bCs/>
                <w:color w:val="000000"/>
              </w:rPr>
              <w:t>0.17</w:t>
            </w:r>
          </w:p>
        </w:tc>
      </w:tr>
      <w:tr w:rsidR="00B71254" w:rsidRPr="00B71254" w:rsidTr="00B71254">
        <w:trPr>
          <w:trHeight w:val="270"/>
        </w:trPr>
        <w:tc>
          <w:tcPr>
            <w:tcW w:w="1706" w:type="dxa"/>
            <w:tcBorders>
              <w:top w:val="nil"/>
              <w:left w:val="single" w:sz="4" w:space="0" w:color="auto"/>
              <w:bottom w:val="single" w:sz="4" w:space="0" w:color="auto"/>
              <w:right w:val="single" w:sz="4" w:space="0" w:color="auto"/>
            </w:tcBorders>
          </w:tcPr>
          <w:p w:rsidR="00B71254" w:rsidRPr="00FF75FD" w:rsidRDefault="00B71254" w:rsidP="00B71254">
            <w:pPr>
              <w:wordWrap w:val="0"/>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High speed</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1000/train</w:t>
            </w:r>
          </w:p>
        </w:tc>
        <w:tc>
          <w:tcPr>
            <w:tcW w:w="1701"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1000/train</w:t>
            </w:r>
          </w:p>
        </w:tc>
        <w:tc>
          <w:tcPr>
            <w:tcW w:w="1559"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25</w:t>
            </w:r>
          </w:p>
        </w:tc>
        <w:tc>
          <w:tcPr>
            <w:tcW w:w="1984"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30%</w:t>
            </w:r>
          </w:p>
        </w:tc>
        <w:tc>
          <w:tcPr>
            <w:tcW w:w="2268" w:type="dxa"/>
            <w:tcBorders>
              <w:top w:val="nil"/>
              <w:left w:val="nil"/>
              <w:bottom w:val="single" w:sz="4" w:space="0" w:color="auto"/>
              <w:right w:val="single" w:sz="4" w:space="0" w:color="auto"/>
            </w:tcBorders>
            <w:shd w:val="clear" w:color="000000" w:fill="FFFFFF"/>
            <w:noWrap/>
            <w:vAlign w:val="bottom"/>
            <w:hideMark/>
          </w:tcPr>
          <w:p w:rsidR="00B71254" w:rsidRPr="00FF75FD" w:rsidRDefault="00B71254" w:rsidP="00B71254">
            <w:pPr>
              <w:spacing w:after="0" w:line="240" w:lineRule="auto"/>
              <w:jc w:val="right"/>
              <w:rPr>
                <w:rFonts w:ascii="MS PGothic" w:eastAsia="MS PGothic" w:hAnsi="MS PGothic" w:cs="MS PGothic"/>
                <w:color w:val="000000"/>
              </w:rPr>
            </w:pPr>
            <w:r w:rsidRPr="00FF75FD">
              <w:rPr>
                <w:rFonts w:ascii="MS PGothic" w:eastAsia="MS PGothic" w:hAnsi="MS PGothic" w:cs="MS PGothic" w:hint="eastAsia"/>
                <w:color w:val="000000"/>
              </w:rPr>
              <w:t>7.5</w:t>
            </w:r>
          </w:p>
        </w:tc>
        <w:tc>
          <w:tcPr>
            <w:tcW w:w="2286" w:type="dxa"/>
            <w:tcBorders>
              <w:top w:val="nil"/>
              <w:left w:val="nil"/>
              <w:bottom w:val="single" w:sz="4" w:space="0" w:color="auto"/>
              <w:right w:val="single" w:sz="4" w:space="0" w:color="auto"/>
            </w:tcBorders>
            <w:shd w:val="clear" w:color="auto" w:fill="auto"/>
            <w:noWrap/>
            <w:vAlign w:val="bottom"/>
            <w:hideMark/>
          </w:tcPr>
          <w:p w:rsidR="00B71254" w:rsidRPr="00B71254" w:rsidRDefault="00B71254" w:rsidP="00B71254">
            <w:pPr>
              <w:spacing w:after="0" w:line="240" w:lineRule="auto"/>
              <w:jc w:val="right"/>
              <w:rPr>
                <w:rFonts w:ascii="MS PGothic" w:eastAsia="MS PGothic" w:hAnsi="MS PGothic" w:cs="MS PGothic"/>
                <w:b/>
                <w:bCs/>
                <w:color w:val="000000"/>
              </w:rPr>
            </w:pPr>
            <w:r w:rsidRPr="00FF75FD">
              <w:rPr>
                <w:rFonts w:ascii="MS PGothic" w:eastAsia="MS PGothic" w:hAnsi="MS PGothic" w:cs="MS PGothic" w:hint="eastAsia"/>
                <w:b/>
                <w:bCs/>
                <w:color w:val="000000"/>
              </w:rPr>
              <w:t>7.5 Gbps/train</w:t>
            </w:r>
          </w:p>
        </w:tc>
      </w:tr>
    </w:tbl>
    <w:p w:rsidR="00B71254" w:rsidRPr="00B71254" w:rsidRDefault="00B71254">
      <w:pPr>
        <w:rPr>
          <w:rFonts w:eastAsia="MS Mincho"/>
        </w:rPr>
      </w:pPr>
    </w:p>
    <w:sectPr w:rsidR="00B71254" w:rsidRPr="00B71254" w:rsidSect="003D302E">
      <w:pgSz w:w="15840" w:h="12240" w:orient="landscape"/>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5B61B9" w15:done="0"/>
  <w15:commentEx w15:paraId="7CC0F8A7" w15:done="0"/>
  <w15:commentEx w15:paraId="12102804" w15:done="0"/>
  <w15:commentEx w15:paraId="10DBD2FC" w15:done="0"/>
  <w15:commentEx w15:paraId="2F0DB096" w15:done="0"/>
  <w15:commentEx w15:paraId="0EE30769" w15:done="0"/>
  <w15:commentEx w15:paraId="36A011C6" w15:done="0"/>
  <w15:commentEx w15:paraId="35D6AF7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332" w:rsidRDefault="00434332" w:rsidP="00BD1D94">
      <w:pPr>
        <w:spacing w:after="0" w:line="240" w:lineRule="auto"/>
      </w:pPr>
      <w:r>
        <w:separator/>
      </w:r>
    </w:p>
  </w:endnote>
  <w:endnote w:type="continuationSeparator" w:id="0">
    <w:p w:rsidR="00434332" w:rsidRDefault="00434332" w:rsidP="00BD1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030905"/>
      <w:docPartObj>
        <w:docPartGallery w:val="Page Numbers (Bottom of Page)"/>
        <w:docPartUnique/>
      </w:docPartObj>
    </w:sdtPr>
    <w:sdtEndPr>
      <w:rPr>
        <w:color w:val="808080" w:themeColor="background1" w:themeShade="80"/>
        <w:spacing w:val="60"/>
      </w:rPr>
    </w:sdtEndPr>
    <w:sdtContent>
      <w:p w:rsidR="00EF2B89" w:rsidRDefault="00B81428" w:rsidP="00EF2B89">
        <w:pPr>
          <w:pStyle w:val="Fuzeile"/>
          <w:pBdr>
            <w:top w:val="single" w:sz="4" w:space="1" w:color="D9D9D9" w:themeColor="background1" w:themeShade="D9"/>
          </w:pBdr>
          <w:jc w:val="right"/>
        </w:pPr>
        <w:r>
          <w:fldChar w:fldCharType="begin"/>
        </w:r>
        <w:r w:rsidR="00B71254">
          <w:instrText xml:space="preserve"> PAGE   \* MERGEFORMAT </w:instrText>
        </w:r>
        <w:r>
          <w:fldChar w:fldCharType="separate"/>
        </w:r>
        <w:r w:rsidR="00DA24DF">
          <w:rPr>
            <w:noProof/>
          </w:rPr>
          <w:t>4</w:t>
        </w:r>
        <w:r>
          <w:rPr>
            <w:noProof/>
          </w:rPr>
          <w:fldChar w:fldCharType="end"/>
        </w:r>
        <w:r w:rsidR="00B71254">
          <w:t xml:space="preserve"> | </w:t>
        </w:r>
        <w:r w:rsidR="00B71254">
          <w:rPr>
            <w:color w:val="808080" w:themeColor="background1" w:themeShade="80"/>
            <w:spacing w:val="60"/>
          </w:rPr>
          <w:t>Page</w:t>
        </w:r>
      </w:p>
    </w:sdtContent>
  </w:sdt>
  <w:p w:rsidR="00EF2B89" w:rsidRPr="005F7839" w:rsidRDefault="00EF2B89" w:rsidP="00EF2B89">
    <w:pPr>
      <w:spacing w:after="0" w:line="240" w:lineRule="auto"/>
      <w:rPr>
        <w:rFonts w:cs="Arial"/>
        <w:b/>
        <w:bCs/>
        <w:noProof/>
        <w:color w:val="468329"/>
        <w:sz w:val="16"/>
        <w:szCs w:val="16"/>
        <w:lang w:eastAsia="en-GB"/>
      </w:rPr>
    </w:pPr>
    <w:r w:rsidRPr="005F7839">
      <w:rPr>
        <w:rFonts w:cs="Arial"/>
        <w:b/>
        <w:bCs/>
        <w:noProof/>
        <w:color w:val="468329"/>
        <w:sz w:val="16"/>
        <w:szCs w:val="16"/>
        <w:lang w:eastAsia="en-GB"/>
      </w:rPr>
      <w:t>Commercial Address:</w:t>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t>Registered Office:</w:t>
    </w:r>
  </w:p>
  <w:p w:rsidR="00EF2B89" w:rsidRPr="005F7839" w:rsidRDefault="00EF2B89" w:rsidP="00EF2B89">
    <w:pPr>
      <w:autoSpaceDE w:val="0"/>
      <w:autoSpaceDN w:val="0"/>
      <w:spacing w:after="0" w:line="240" w:lineRule="auto"/>
      <w:rPr>
        <w:rFonts w:cs="Arial"/>
        <w:b/>
        <w:bCs/>
        <w:noProof/>
        <w:color w:val="468329"/>
        <w:sz w:val="18"/>
        <w:szCs w:val="18"/>
        <w:lang w:eastAsia="en-GB"/>
      </w:rPr>
    </w:pPr>
    <w:r w:rsidRPr="005F7839">
      <w:rPr>
        <w:rFonts w:cs="Arial"/>
        <w:b/>
        <w:bCs/>
        <w:noProof/>
        <w:color w:val="468329"/>
        <w:sz w:val="18"/>
        <w:szCs w:val="18"/>
        <w:lang w:eastAsia="en-GB"/>
      </w:rPr>
      <w:t xml:space="preserve">ngmn Ltd., </w:t>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t>ngmn Ltd</w:t>
    </w:r>
    <w:r w:rsidRPr="005F7839">
      <w:rPr>
        <w:rFonts w:cs="Arial"/>
        <w:noProof/>
        <w:color w:val="1F497D"/>
        <w:sz w:val="18"/>
        <w:szCs w:val="18"/>
        <w:lang w:eastAsia="en-GB"/>
      </w:rPr>
      <w:t>.,</w:t>
    </w:r>
  </w:p>
  <w:p w:rsidR="00EF2B89" w:rsidRPr="005F7839" w:rsidRDefault="00EF2B89" w:rsidP="00EF2B89">
    <w:pPr>
      <w:spacing w:after="0" w:line="240" w:lineRule="auto"/>
      <w:ind w:left="7920" w:hanging="7920"/>
      <w:rPr>
        <w:rFonts w:cs="Arial"/>
        <w:noProof/>
        <w:sz w:val="18"/>
        <w:szCs w:val="18"/>
        <w:lang w:eastAsia="en-GB"/>
      </w:rPr>
    </w:pPr>
    <w:r w:rsidRPr="005F7839">
      <w:rPr>
        <w:rFonts w:cs="Arial"/>
        <w:noProof/>
        <w:sz w:val="18"/>
        <w:szCs w:val="18"/>
        <w:lang w:eastAsia="en-GB"/>
      </w:rPr>
      <w:t>Großer Hasenpfad 30 • 60598 Frankfurt • Germany</w:t>
    </w:r>
    <w:r w:rsidRPr="005F7839">
      <w:rPr>
        <w:rFonts w:cs="Arial"/>
        <w:noProof/>
        <w:sz w:val="18"/>
        <w:szCs w:val="18"/>
        <w:lang w:eastAsia="en-GB"/>
      </w:rPr>
      <w:tab/>
      <w:t xml:space="preserve">Reading Bridge House • George Street • Reading • </w:t>
    </w:r>
    <w:r w:rsidRPr="005F7839">
      <w:rPr>
        <w:rFonts w:cs="Arial"/>
        <w:noProof/>
        <w:sz w:val="18"/>
        <w:szCs w:val="18"/>
        <w:lang w:eastAsia="en-GB"/>
      </w:rPr>
      <w:br/>
      <w:t xml:space="preserve">Berkshire RG1 8LS • UK                       </w:t>
    </w:r>
  </w:p>
  <w:p w:rsidR="00EF2B89" w:rsidRPr="00B35C2E" w:rsidRDefault="00EF2B89" w:rsidP="00EF2B89">
    <w:pPr>
      <w:spacing w:after="0" w:line="240" w:lineRule="auto"/>
      <w:ind w:left="7920" w:hanging="7920"/>
      <w:rPr>
        <w:rFonts w:cs="Arial"/>
        <w:noProof/>
        <w:sz w:val="18"/>
        <w:szCs w:val="18"/>
        <w:lang w:eastAsia="en-GB"/>
      </w:rPr>
    </w:pPr>
    <w:r w:rsidRPr="005F7839">
      <w:rPr>
        <w:rFonts w:cs="Arial"/>
        <w:noProof/>
        <w:sz w:val="18"/>
        <w:szCs w:val="18"/>
        <w:lang w:eastAsia="en-GB"/>
      </w:rPr>
      <w:t xml:space="preserve">Phone +49 69/9 07 49 98-0 • Fax +49 69/9 07 49 98-41 </w:t>
    </w:r>
    <w:r w:rsidRPr="005F7839">
      <w:rPr>
        <w:rFonts w:cs="Arial"/>
        <w:noProof/>
        <w:sz w:val="18"/>
        <w:szCs w:val="18"/>
        <w:lang w:eastAsia="en-GB"/>
      </w:rPr>
      <w:tab/>
      <w:t xml:space="preserve">Company registered in England and Wales n. 5932387, </w:t>
    </w:r>
    <w:r w:rsidRPr="005F7839">
      <w:rPr>
        <w:rFonts w:cs="Arial"/>
        <w:noProof/>
        <w:sz w:val="18"/>
        <w:szCs w:val="18"/>
        <w:lang w:eastAsia="en-GB"/>
      </w:rPr>
      <w:br/>
      <w:t>VAT Number: GB 918713901</w:t>
    </w:r>
  </w:p>
  <w:p w:rsidR="00B71254" w:rsidRDefault="00B7125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B89" w:rsidRPr="005B35AA" w:rsidRDefault="00EF2B89" w:rsidP="00EF2B89">
    <w:pPr>
      <w:spacing w:after="0" w:line="250" w:lineRule="atLeast"/>
      <w:rPr>
        <w:rFonts w:ascii="Arial" w:eastAsia="Times New Roman" w:hAnsi="Arial" w:cs="Arial"/>
        <w:b/>
        <w:bCs/>
        <w:noProof/>
        <w:color w:val="468329"/>
        <w:spacing w:val="-4"/>
        <w:sz w:val="16"/>
        <w:szCs w:val="16"/>
        <w:lang w:eastAsia="en-GB"/>
      </w:rPr>
    </w:pPr>
    <w:r w:rsidRPr="005B35AA">
      <w:rPr>
        <w:rFonts w:ascii="Arial" w:eastAsia="Times New Roman" w:hAnsi="Arial" w:cs="Arial"/>
        <w:b/>
        <w:bCs/>
        <w:noProof/>
        <w:color w:val="468329"/>
        <w:spacing w:val="-4"/>
        <w:sz w:val="16"/>
        <w:szCs w:val="16"/>
        <w:lang w:val="en-GB" w:eastAsia="en-GB"/>
      </w:rPr>
      <w:t>Commercial Address:</w:t>
    </w:r>
    <w:r w:rsidRPr="005B35AA">
      <w:rPr>
        <w:rFonts w:ascii="Arial" w:eastAsia="Times New Roman" w:hAnsi="Arial" w:cs="Arial"/>
        <w:b/>
        <w:bCs/>
        <w:noProof/>
        <w:color w:val="468329"/>
        <w:spacing w:val="-4"/>
        <w:sz w:val="16"/>
        <w:szCs w:val="16"/>
        <w:lang w:val="en-GB" w:eastAsia="en-GB"/>
      </w:rPr>
      <w:tab/>
    </w:r>
    <w:r w:rsidRPr="005B35AA">
      <w:rPr>
        <w:rFonts w:ascii="Arial" w:eastAsia="Times New Roman" w:hAnsi="Arial" w:cs="Arial"/>
        <w:b/>
        <w:bCs/>
        <w:noProof/>
        <w:color w:val="468329"/>
        <w:spacing w:val="-4"/>
        <w:sz w:val="16"/>
        <w:szCs w:val="16"/>
        <w:lang w:val="en-GB" w:eastAsia="en-GB"/>
      </w:rPr>
      <w:tab/>
    </w:r>
    <w:r w:rsidRPr="005B35AA">
      <w:rPr>
        <w:rFonts w:ascii="Arial" w:eastAsia="Times New Roman" w:hAnsi="Arial" w:cs="Arial"/>
        <w:b/>
        <w:bCs/>
        <w:noProof/>
        <w:color w:val="468329"/>
        <w:spacing w:val="-4"/>
        <w:sz w:val="16"/>
        <w:szCs w:val="16"/>
        <w:lang w:val="en-GB" w:eastAsia="en-GB"/>
      </w:rPr>
      <w:tab/>
    </w:r>
    <w:r w:rsidRPr="005B35AA">
      <w:rPr>
        <w:rFonts w:ascii="Arial" w:eastAsia="Times New Roman" w:hAnsi="Arial" w:cs="Arial"/>
        <w:b/>
        <w:bCs/>
        <w:noProof/>
        <w:color w:val="468329"/>
        <w:spacing w:val="-4"/>
        <w:sz w:val="16"/>
        <w:szCs w:val="16"/>
        <w:lang w:val="en-GB" w:eastAsia="en-GB"/>
      </w:rPr>
      <w:tab/>
    </w:r>
    <w:r w:rsidRPr="005B35AA">
      <w:rPr>
        <w:rFonts w:ascii="Arial" w:eastAsia="Times New Roman" w:hAnsi="Arial" w:cs="Arial"/>
        <w:b/>
        <w:bCs/>
        <w:noProof/>
        <w:color w:val="468329"/>
        <w:spacing w:val="-4"/>
        <w:sz w:val="16"/>
        <w:szCs w:val="16"/>
        <w:lang w:val="en-GB" w:eastAsia="en-GB"/>
      </w:rPr>
      <w:tab/>
    </w:r>
    <w:r w:rsidRPr="005B35AA">
      <w:rPr>
        <w:rFonts w:ascii="Arial" w:eastAsia="Times New Roman" w:hAnsi="Arial" w:cs="Arial"/>
        <w:b/>
        <w:bCs/>
        <w:noProof/>
        <w:color w:val="468329"/>
        <w:spacing w:val="-4"/>
        <w:sz w:val="16"/>
        <w:szCs w:val="16"/>
        <w:lang w:eastAsia="en-GB"/>
      </w:rPr>
      <w:t>Registered Office:</w:t>
    </w:r>
  </w:p>
  <w:p w:rsidR="00EF2B89" w:rsidRPr="005B35AA" w:rsidRDefault="00EF2B89" w:rsidP="00EF2B89">
    <w:pPr>
      <w:autoSpaceDE w:val="0"/>
      <w:autoSpaceDN w:val="0"/>
      <w:spacing w:after="0" w:line="250" w:lineRule="atLeast"/>
      <w:rPr>
        <w:rFonts w:ascii="Arial" w:eastAsia="Times New Roman" w:hAnsi="Arial" w:cs="Arial"/>
        <w:b/>
        <w:bCs/>
        <w:noProof/>
        <w:color w:val="468329"/>
        <w:spacing w:val="-4"/>
        <w:sz w:val="18"/>
        <w:szCs w:val="18"/>
        <w:lang w:val="en-GB" w:eastAsia="en-GB"/>
      </w:rPr>
    </w:pPr>
    <w:r w:rsidRPr="005B35AA">
      <w:rPr>
        <w:rFonts w:ascii="Arial" w:eastAsia="Times New Roman" w:hAnsi="Arial" w:cs="Arial"/>
        <w:b/>
        <w:bCs/>
        <w:noProof/>
        <w:color w:val="468329"/>
        <w:spacing w:val="-4"/>
        <w:sz w:val="18"/>
        <w:szCs w:val="18"/>
        <w:lang w:val="en-GB" w:eastAsia="en-GB"/>
      </w:rPr>
      <w:t xml:space="preserve">ngmn Ltd., </w:t>
    </w:r>
    <w:r w:rsidRPr="005B35AA">
      <w:rPr>
        <w:rFonts w:ascii="Arial" w:eastAsia="Times New Roman" w:hAnsi="Arial" w:cs="Arial"/>
        <w:b/>
        <w:bCs/>
        <w:noProof/>
        <w:color w:val="468329"/>
        <w:spacing w:val="-4"/>
        <w:sz w:val="18"/>
        <w:szCs w:val="18"/>
        <w:lang w:val="en-GB" w:eastAsia="en-GB"/>
      </w:rPr>
      <w:tab/>
    </w:r>
    <w:r w:rsidRPr="005B35AA">
      <w:rPr>
        <w:rFonts w:ascii="Arial" w:eastAsia="Times New Roman" w:hAnsi="Arial" w:cs="Arial"/>
        <w:b/>
        <w:bCs/>
        <w:noProof/>
        <w:color w:val="468329"/>
        <w:spacing w:val="-4"/>
        <w:sz w:val="18"/>
        <w:szCs w:val="18"/>
        <w:lang w:val="en-GB" w:eastAsia="en-GB"/>
      </w:rPr>
      <w:tab/>
    </w:r>
    <w:r w:rsidRPr="005B35AA">
      <w:rPr>
        <w:rFonts w:ascii="Arial" w:eastAsia="Times New Roman" w:hAnsi="Arial" w:cs="Arial"/>
        <w:b/>
        <w:bCs/>
        <w:noProof/>
        <w:color w:val="468329"/>
        <w:spacing w:val="-4"/>
        <w:sz w:val="18"/>
        <w:szCs w:val="18"/>
        <w:lang w:val="en-GB" w:eastAsia="en-GB"/>
      </w:rPr>
      <w:tab/>
    </w:r>
    <w:r w:rsidRPr="005B35AA">
      <w:rPr>
        <w:rFonts w:ascii="Arial" w:eastAsia="Times New Roman" w:hAnsi="Arial" w:cs="Arial"/>
        <w:b/>
        <w:bCs/>
        <w:noProof/>
        <w:color w:val="468329"/>
        <w:spacing w:val="-4"/>
        <w:sz w:val="18"/>
        <w:szCs w:val="18"/>
        <w:lang w:val="en-GB" w:eastAsia="en-GB"/>
      </w:rPr>
      <w:tab/>
    </w:r>
    <w:r w:rsidRPr="005B35AA">
      <w:rPr>
        <w:rFonts w:ascii="Arial" w:eastAsia="Times New Roman" w:hAnsi="Arial" w:cs="Arial"/>
        <w:b/>
        <w:bCs/>
        <w:noProof/>
        <w:color w:val="468329"/>
        <w:spacing w:val="-4"/>
        <w:sz w:val="18"/>
        <w:szCs w:val="18"/>
        <w:lang w:val="en-GB" w:eastAsia="en-GB"/>
      </w:rPr>
      <w:tab/>
    </w:r>
    <w:r w:rsidRPr="005B35AA">
      <w:rPr>
        <w:rFonts w:ascii="Arial" w:eastAsia="Times New Roman" w:hAnsi="Arial" w:cs="Arial"/>
        <w:b/>
        <w:bCs/>
        <w:noProof/>
        <w:color w:val="468329"/>
        <w:spacing w:val="-4"/>
        <w:sz w:val="18"/>
        <w:szCs w:val="18"/>
        <w:lang w:val="en-GB" w:eastAsia="en-GB"/>
      </w:rPr>
      <w:tab/>
      <w:t>ngmn Ltd</w:t>
    </w:r>
    <w:r w:rsidRPr="005B35AA">
      <w:rPr>
        <w:rFonts w:ascii="Arial" w:eastAsia="Times New Roman" w:hAnsi="Arial" w:cs="Arial"/>
        <w:noProof/>
        <w:color w:val="1F497D"/>
        <w:spacing w:val="-4"/>
        <w:sz w:val="18"/>
        <w:szCs w:val="18"/>
        <w:lang w:val="en-GB" w:eastAsia="en-GB"/>
      </w:rPr>
      <w:t>.,</w:t>
    </w:r>
  </w:p>
  <w:p w:rsidR="00EF2B89" w:rsidRPr="005B35AA" w:rsidRDefault="00EF2B89" w:rsidP="00EF2B89">
    <w:pPr>
      <w:spacing w:after="0" w:line="250" w:lineRule="atLeast"/>
      <w:ind w:left="4950" w:hanging="4950"/>
      <w:rPr>
        <w:rFonts w:ascii="Arial" w:eastAsia="Times New Roman" w:hAnsi="Arial" w:cs="Arial"/>
        <w:noProof/>
        <w:spacing w:val="-4"/>
        <w:sz w:val="18"/>
        <w:szCs w:val="18"/>
        <w:lang w:val="en-GB" w:eastAsia="en-GB"/>
      </w:rPr>
    </w:pPr>
    <w:r w:rsidRPr="005B35AA">
      <w:rPr>
        <w:rFonts w:ascii="Arial" w:eastAsia="Times New Roman" w:hAnsi="Arial" w:cs="Arial"/>
        <w:noProof/>
        <w:spacing w:val="-4"/>
        <w:sz w:val="18"/>
        <w:szCs w:val="18"/>
        <w:lang w:val="en-GB" w:eastAsia="en-GB"/>
      </w:rPr>
      <w:t>Großer Hasenpfad 30 • 60598 Frankfurt • Germany</w:t>
    </w:r>
    <w:r w:rsidRPr="005B35AA">
      <w:rPr>
        <w:rFonts w:ascii="Arial" w:eastAsia="Times New Roman" w:hAnsi="Arial" w:cs="Arial"/>
        <w:noProof/>
        <w:spacing w:val="-4"/>
        <w:sz w:val="18"/>
        <w:szCs w:val="18"/>
        <w:lang w:val="en-GB" w:eastAsia="en-GB"/>
      </w:rPr>
      <w:tab/>
    </w:r>
    <w:r w:rsidRPr="005B35AA">
      <w:rPr>
        <w:rFonts w:ascii="Arial" w:eastAsia="Times New Roman" w:hAnsi="Arial" w:cs="Arial"/>
        <w:noProof/>
        <w:spacing w:val="-4"/>
        <w:sz w:val="18"/>
        <w:szCs w:val="18"/>
        <w:lang w:val="en-GB" w:eastAsia="en-GB"/>
      </w:rPr>
      <w:tab/>
      <w:t xml:space="preserve">Reading Bridge House • George Street • Reading • </w:t>
    </w:r>
    <w:r w:rsidRPr="005B35AA">
      <w:rPr>
        <w:rFonts w:ascii="Arial" w:eastAsia="Times New Roman" w:hAnsi="Arial" w:cs="Arial"/>
        <w:noProof/>
        <w:spacing w:val="-4"/>
        <w:sz w:val="18"/>
        <w:szCs w:val="18"/>
        <w:lang w:val="en-GB" w:eastAsia="en-GB"/>
      </w:rPr>
      <w:br/>
      <w:t xml:space="preserve">Berkshire RG1 8LS • UK                       </w:t>
    </w:r>
  </w:p>
  <w:p w:rsidR="00EF2B89" w:rsidRPr="005B35AA" w:rsidRDefault="00EF2B89" w:rsidP="00EF2B89">
    <w:pPr>
      <w:spacing w:after="0" w:line="250" w:lineRule="atLeast"/>
      <w:ind w:left="4950" w:hanging="4950"/>
      <w:jc w:val="both"/>
      <w:rPr>
        <w:rFonts w:ascii="Arial" w:eastAsia="Times New Roman" w:hAnsi="Arial" w:cs="Arial"/>
        <w:noProof/>
        <w:spacing w:val="-4"/>
        <w:sz w:val="18"/>
        <w:szCs w:val="18"/>
        <w:lang w:eastAsia="en-GB"/>
      </w:rPr>
    </w:pPr>
    <w:r w:rsidRPr="005B35AA">
      <w:rPr>
        <w:rFonts w:ascii="Arial" w:eastAsia="Times New Roman" w:hAnsi="Arial" w:cs="Arial"/>
        <w:noProof/>
        <w:spacing w:val="-4"/>
        <w:sz w:val="18"/>
        <w:szCs w:val="18"/>
        <w:lang w:val="en-GB" w:eastAsia="en-GB"/>
      </w:rPr>
      <w:t xml:space="preserve">Phone +49 69/9 07 49 98-04 • Fax +49 69/9 07 49 98-41 </w:t>
    </w:r>
    <w:r w:rsidRPr="005B35AA">
      <w:rPr>
        <w:rFonts w:ascii="Arial" w:eastAsia="Times New Roman" w:hAnsi="Arial" w:cs="Arial"/>
        <w:noProof/>
        <w:spacing w:val="-4"/>
        <w:sz w:val="18"/>
        <w:szCs w:val="18"/>
        <w:lang w:val="en-GB" w:eastAsia="en-GB"/>
      </w:rPr>
      <w:tab/>
    </w:r>
    <w:r w:rsidRPr="005B35AA">
      <w:rPr>
        <w:rFonts w:ascii="Arial" w:eastAsia="Times New Roman" w:hAnsi="Arial" w:cs="Arial"/>
        <w:noProof/>
        <w:spacing w:val="-4"/>
        <w:sz w:val="18"/>
        <w:szCs w:val="18"/>
        <w:lang w:eastAsia="en-GB"/>
      </w:rPr>
      <w:t xml:space="preserve">Company registered in England and Wales n. 5932387, </w:t>
    </w:r>
    <w:r w:rsidRPr="005B35AA">
      <w:rPr>
        <w:rFonts w:ascii="Arial" w:eastAsia="Times New Roman" w:hAnsi="Arial" w:cs="Arial"/>
        <w:noProof/>
        <w:spacing w:val="-4"/>
        <w:sz w:val="18"/>
        <w:szCs w:val="18"/>
        <w:lang w:eastAsia="en-GB"/>
      </w:rPr>
      <w:br/>
      <w:t>VAT Number: GB 918713901</w:t>
    </w:r>
  </w:p>
  <w:p w:rsidR="00EF2B89" w:rsidRDefault="00EF2B89">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332" w:rsidRDefault="00434332" w:rsidP="00BD1D94">
      <w:pPr>
        <w:spacing w:after="0" w:line="240" w:lineRule="auto"/>
      </w:pPr>
      <w:r>
        <w:separator/>
      </w:r>
    </w:p>
  </w:footnote>
  <w:footnote w:type="continuationSeparator" w:id="0">
    <w:p w:rsidR="00434332" w:rsidRDefault="00434332" w:rsidP="00BD1D94">
      <w:pPr>
        <w:spacing w:after="0" w:line="240" w:lineRule="auto"/>
      </w:pPr>
      <w:r>
        <w:continuationSeparator/>
      </w:r>
    </w:p>
  </w:footnote>
  <w:footnote w:id="1">
    <w:p w:rsidR="00B71254" w:rsidRDefault="00B71254" w:rsidP="00970A92">
      <w:pPr>
        <w:pStyle w:val="Funotentext"/>
      </w:pPr>
      <w:r>
        <w:rPr>
          <w:rStyle w:val="Funotenzeichen"/>
        </w:rPr>
        <w:footnoteRef/>
      </w:r>
      <w:r>
        <w:t xml:space="preserve"> Indicates deployment options that can be studied to identify the option(s) that can meet the requirements. Not all options need to be necessarily evaluated. </w:t>
      </w:r>
    </w:p>
  </w:footnote>
  <w:footnote w:id="2">
    <w:p w:rsidR="00B71254" w:rsidRDefault="00B71254" w:rsidP="00970A92">
      <w:pPr>
        <w:pStyle w:val="Funotentext"/>
      </w:pPr>
      <w:r>
        <w:rPr>
          <w:rStyle w:val="Funotenzeichen"/>
        </w:rPr>
        <w:footnoteRef/>
      </w:r>
      <w:r>
        <w:t xml:space="preserve"> The options noted here are for evaluation purpose, and do not mandate the deployment of these options or preclude the study of other spectrum options.</w:t>
      </w:r>
    </w:p>
  </w:footnote>
  <w:footnote w:id="3">
    <w:p w:rsidR="00B71254" w:rsidRDefault="00B71254" w:rsidP="00970A92">
      <w:pPr>
        <w:pStyle w:val="Funotentext"/>
      </w:pPr>
      <w:r>
        <w:rPr>
          <w:rStyle w:val="Funotenzeichen"/>
        </w:rPr>
        <w:footnoteRef/>
      </w:r>
      <w:r>
        <w:t xml:space="preserve"> This is not the simulation bandwidth. Simulation bandwidth may be much smaller. This bandwidth denotes an aspirational background to the capacity/user experienced data rate/area traffic capacity requirements and not necessarily what will be available to an operator in a single block. The bandwidth value given is per operator.</w:t>
      </w:r>
    </w:p>
  </w:footnote>
  <w:footnote w:id="4">
    <w:p w:rsidR="00B71254" w:rsidRDefault="00B71254" w:rsidP="00134157">
      <w:pPr>
        <w:pStyle w:val="Funotentext"/>
      </w:pPr>
      <w:r>
        <w:rPr>
          <w:rStyle w:val="Funotenzeichen"/>
        </w:rPr>
        <w:footnoteRef/>
      </w:r>
      <w:r>
        <w:t xml:space="preserve"> The user experienced data rate (non full buffer) and area traffic capacity values are target values and not strict requirements. The user experienced data rate is the target for 5th percentile user data rate at a loading determined by the area traffic capacity (non-full buffer) target for that deployment scenario. </w:t>
      </w:r>
    </w:p>
    <w:p w:rsidR="00B71254" w:rsidRDefault="00B71254" w:rsidP="00134157">
      <w:pPr>
        <w:pStyle w:val="Funotentext"/>
      </w:pPr>
      <w:r>
        <w:t>In case the user experienced data rate target is not achieved at the target loading for a particular deployment scenario, the 5th percentile user data rate shall be calculated at a reasonably well utilized loading (e.g. consistent with 50% harmonic mean normalized cell throughput (HM-NCT, see TR 36.814)).</w:t>
      </w:r>
    </w:p>
    <w:p w:rsidR="00B71254" w:rsidRPr="00636952" w:rsidRDefault="00B71254" w:rsidP="00134157">
      <w:pPr>
        <w:pStyle w:val="Funotentext"/>
        <w:rPr>
          <w:rFonts w:eastAsia="MS Mincho"/>
        </w:rPr>
      </w:pPr>
      <w:r>
        <w:t>Providing results for different loadi</w:t>
      </w:r>
      <w:r w:rsidRPr="00FF75FD">
        <w:t>ng levels is useful, but it is not strictly necessary to check that the user experience data rate is met. It is up to 3GPP to decide how many loading levels are simulated</w:t>
      </w:r>
      <w:r w:rsidR="00636952" w:rsidRPr="00FF75FD">
        <w:rPr>
          <w:rFonts w:eastAsia="MS Mincho" w:hint="eastAsia"/>
        </w:rPr>
        <w:t xml:space="preserve">. </w:t>
      </w:r>
      <w:r w:rsidR="00B81428" w:rsidRPr="00FF75FD">
        <w:rPr>
          <w:rFonts w:eastAsia="MS Mincho"/>
        </w:rPr>
        <w:t>The assumptions for deriving area traffic capacity (non-full buffer) for a single operator are provided in the appendix</w:t>
      </w:r>
    </w:p>
  </w:footnote>
  <w:footnote w:id="5">
    <w:p w:rsidR="00B71254" w:rsidRDefault="00B71254" w:rsidP="00970A92">
      <w:pPr>
        <w:pStyle w:val="Funotentext"/>
      </w:pPr>
      <w:r>
        <w:rPr>
          <w:rStyle w:val="Funotenzeichen"/>
        </w:rPr>
        <w:footnoteRef/>
      </w:r>
      <w:r>
        <w:t xml:space="preserve"> A range of bands from 24 GHz – 40 GHz identified for WRC-19 are currently being considered and around 30 GHz is chosen as a proxy for this range.</w:t>
      </w:r>
    </w:p>
  </w:footnote>
  <w:footnote w:id="6">
    <w:p w:rsidR="00B71254" w:rsidRDefault="00B71254" w:rsidP="00970A92">
      <w:pPr>
        <w:pStyle w:val="Funotentext"/>
      </w:pPr>
      <w:r>
        <w:rPr>
          <w:rStyle w:val="Funotenzeichen"/>
        </w:rPr>
        <w:footnoteRef/>
      </w:r>
      <w:r>
        <w:t xml:space="preserve"> A range of bands from 66 GHz – 86 GHz identified for WRC-19 are currently being considered and around 70 GHz is chosen as a proxy for this range.</w:t>
      </w:r>
    </w:p>
  </w:footnote>
  <w:footnote w:id="7">
    <w:p w:rsidR="00B71254" w:rsidRDefault="00B71254" w:rsidP="00970A92">
      <w:pPr>
        <w:pStyle w:val="Funotentext"/>
      </w:pPr>
      <w:r>
        <w:rPr>
          <w:rStyle w:val="Funotenzeichen"/>
        </w:rPr>
        <w:footnoteRef/>
      </w:r>
      <w:r>
        <w:t xml:space="preserve"> This does not preclude the study of other options (e.g., 4 or 10 small cells).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2856"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9363"/>
      <w:gridCol w:w="3493"/>
    </w:tblGrid>
    <w:tr w:rsidR="00EF2B89" w:rsidTr="00DF0505">
      <w:trPr>
        <w:trHeight w:val="895"/>
        <w:jc w:val="center"/>
      </w:trPr>
      <w:tc>
        <w:tcPr>
          <w:tcW w:w="9363" w:type="dxa"/>
        </w:tcPr>
        <w:p w:rsidR="00EF2B89" w:rsidRDefault="00EF2B89" w:rsidP="00DF0505">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EF2B89" w:rsidRDefault="00EF2B89" w:rsidP="00DF0505">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Pr>
              <w:rFonts w:ascii="Arial" w:hAnsi="Arial" w:cs="Arial"/>
              <w:b/>
              <w:sz w:val="28"/>
              <w:lang w:val="en-GB" w:eastAsia="zh-CN"/>
            </w:rPr>
            <w:t>P1 WS#3 Key Performance Indicators</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to </w:t>
          </w:r>
          <w:r>
            <w:rPr>
              <w:rFonts w:ascii="Arial" w:hAnsi="Arial" w:cs="Arial" w:hint="eastAsia"/>
              <w:b/>
              <w:sz w:val="28"/>
              <w:lang w:val="en-GB" w:eastAsia="zh-CN"/>
            </w:rPr>
            <w:t>3GPP TSG RAN</w:t>
          </w:r>
        </w:p>
      </w:tc>
      <w:tc>
        <w:tcPr>
          <w:tcW w:w="3493" w:type="dxa"/>
          <w:vAlign w:val="center"/>
        </w:tcPr>
        <w:p w:rsidR="00EF2B89" w:rsidRDefault="00EF2B89" w:rsidP="00DF0505">
          <w:pPr>
            <w:pStyle w:val="Kopfzeile"/>
            <w:rPr>
              <w:rFonts w:ascii="Arial" w:hAnsi="Arial" w:cs="Arial"/>
              <w:b/>
              <w:color w:val="FF0000"/>
              <w:lang w:val="en-GB"/>
            </w:rPr>
          </w:pPr>
          <w:r>
            <w:rPr>
              <w:noProof/>
              <w:lang w:val="de-DE" w:eastAsia="de-DE"/>
            </w:rPr>
            <w:drawing>
              <wp:inline distT="0" distB="0" distL="0" distR="0" wp14:anchorId="35E6036F" wp14:editId="541E818E">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EF2B89" w:rsidRDefault="00EF2B89" w:rsidP="00EF2B89">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B89" w:rsidRDefault="00EF2B89">
    <w:pPr>
      <w:pStyle w:val="Kopfzeile"/>
    </w:pPr>
  </w:p>
  <w:p w:rsidR="00EF2B89" w:rsidRDefault="00EF2B89">
    <w:pPr>
      <w:pStyle w:val="Kopfzeile"/>
    </w:pPr>
  </w:p>
  <w:p w:rsidR="00EF2B89" w:rsidRDefault="00EF2B89">
    <w:pPr>
      <w:pStyle w:val="Kopfzeile"/>
    </w:pPr>
  </w:p>
  <w:p w:rsidR="00EF2B89" w:rsidRDefault="00EF2B89">
    <w:pPr>
      <w:pStyle w:val="Kopfzeile"/>
    </w:pPr>
  </w:p>
  <w:p w:rsidR="00EF2B89" w:rsidRDefault="00EF2B89">
    <w:pPr>
      <w:pStyle w:val="Kopfzeile"/>
    </w:pPr>
  </w:p>
  <w:p w:rsidR="00EF2B89" w:rsidRDefault="00EF2B89">
    <w:pPr>
      <w:pStyle w:val="Kopfzeile"/>
    </w:pPr>
  </w:p>
  <w:p w:rsidR="00EF2B89" w:rsidRDefault="00EF2B89">
    <w:pPr>
      <w:pStyle w:val="Kopfzeile"/>
    </w:pPr>
    <w:r>
      <w:rPr>
        <w:noProof/>
        <w:lang w:val="de-DE" w:eastAsia="de-DE"/>
      </w:rPr>
      <w:drawing>
        <wp:anchor distT="0" distB="0" distL="114300" distR="114300" simplePos="0" relativeHeight="251659264" behindDoc="1" locked="1" layoutInCell="1" allowOverlap="1" wp14:anchorId="108FD13F" wp14:editId="785B1E52">
          <wp:simplePos x="0" y="0"/>
          <wp:positionH relativeFrom="page">
            <wp:posOffset>5323205</wp:posOffset>
          </wp:positionH>
          <wp:positionV relativeFrom="page">
            <wp:posOffset>458470</wp:posOffset>
          </wp:positionV>
          <wp:extent cx="2133600" cy="1209675"/>
          <wp:effectExtent l="0" t="0" r="0" b="9525"/>
          <wp:wrapNone/>
          <wp:docPr id="9"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1209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C0898"/>
    <w:multiLevelType w:val="hybridMultilevel"/>
    <w:tmpl w:val="555C0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1C1493"/>
    <w:multiLevelType w:val="hybridMultilevel"/>
    <w:tmpl w:val="DF488466"/>
    <w:lvl w:ilvl="0" w:tplc="FB9297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B12192"/>
    <w:multiLevelType w:val="hybridMultilevel"/>
    <w:tmpl w:val="44362C46"/>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7B2056"/>
    <w:multiLevelType w:val="hybridMultilevel"/>
    <w:tmpl w:val="96EC7A1E"/>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3317976"/>
    <w:multiLevelType w:val="hybridMultilevel"/>
    <w:tmpl w:val="FB9AC806"/>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511BD1"/>
    <w:multiLevelType w:val="hybridMultilevel"/>
    <w:tmpl w:val="2A80BBCC"/>
    <w:lvl w:ilvl="0" w:tplc="EDC433A8">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5E7511"/>
    <w:multiLevelType w:val="hybridMultilevel"/>
    <w:tmpl w:val="99328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07457"/>
    <w:multiLevelType w:val="hybridMultilevel"/>
    <w:tmpl w:val="96EC7A1E"/>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308773BD"/>
    <w:multiLevelType w:val="hybridMultilevel"/>
    <w:tmpl w:val="BF3614A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nsid w:val="389D0B7C"/>
    <w:multiLevelType w:val="hybridMultilevel"/>
    <w:tmpl w:val="96EC7A1E"/>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3BB14618"/>
    <w:multiLevelType w:val="hybridMultilevel"/>
    <w:tmpl w:val="6C56A914"/>
    <w:lvl w:ilvl="0" w:tplc="609CADF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604AA6"/>
    <w:multiLevelType w:val="hybridMultilevel"/>
    <w:tmpl w:val="3194843A"/>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12">
    <w:nsid w:val="40FF4736"/>
    <w:multiLevelType w:val="hybridMultilevel"/>
    <w:tmpl w:val="497444F6"/>
    <w:lvl w:ilvl="0" w:tplc="E3A24222">
      <w:start w:val="1"/>
      <w:numFmt w:val="bullet"/>
      <w:lvlText w:val="•"/>
      <w:lvlJc w:val="left"/>
      <w:pPr>
        <w:tabs>
          <w:tab w:val="num" w:pos="720"/>
        </w:tabs>
        <w:ind w:left="720" w:hanging="360"/>
      </w:pPr>
      <w:rPr>
        <w:rFonts w:ascii="Arial" w:hAnsi="Arial" w:hint="default"/>
      </w:rPr>
    </w:lvl>
    <w:lvl w:ilvl="1" w:tplc="5CDCDCAE" w:tentative="1">
      <w:start w:val="1"/>
      <w:numFmt w:val="bullet"/>
      <w:lvlText w:val="•"/>
      <w:lvlJc w:val="left"/>
      <w:pPr>
        <w:tabs>
          <w:tab w:val="num" w:pos="1440"/>
        </w:tabs>
        <w:ind w:left="1440" w:hanging="360"/>
      </w:pPr>
      <w:rPr>
        <w:rFonts w:ascii="Arial" w:hAnsi="Arial" w:hint="default"/>
      </w:rPr>
    </w:lvl>
    <w:lvl w:ilvl="2" w:tplc="86E6CBB0" w:tentative="1">
      <w:start w:val="1"/>
      <w:numFmt w:val="bullet"/>
      <w:lvlText w:val="•"/>
      <w:lvlJc w:val="left"/>
      <w:pPr>
        <w:tabs>
          <w:tab w:val="num" w:pos="2160"/>
        </w:tabs>
        <w:ind w:left="2160" w:hanging="360"/>
      </w:pPr>
      <w:rPr>
        <w:rFonts w:ascii="Arial" w:hAnsi="Arial" w:hint="default"/>
      </w:rPr>
    </w:lvl>
    <w:lvl w:ilvl="3" w:tplc="C9EE68C8" w:tentative="1">
      <w:start w:val="1"/>
      <w:numFmt w:val="bullet"/>
      <w:lvlText w:val="•"/>
      <w:lvlJc w:val="left"/>
      <w:pPr>
        <w:tabs>
          <w:tab w:val="num" w:pos="2880"/>
        </w:tabs>
        <w:ind w:left="2880" w:hanging="360"/>
      </w:pPr>
      <w:rPr>
        <w:rFonts w:ascii="Arial" w:hAnsi="Arial" w:hint="default"/>
      </w:rPr>
    </w:lvl>
    <w:lvl w:ilvl="4" w:tplc="18D4C886" w:tentative="1">
      <w:start w:val="1"/>
      <w:numFmt w:val="bullet"/>
      <w:lvlText w:val="•"/>
      <w:lvlJc w:val="left"/>
      <w:pPr>
        <w:tabs>
          <w:tab w:val="num" w:pos="3600"/>
        </w:tabs>
        <w:ind w:left="3600" w:hanging="360"/>
      </w:pPr>
      <w:rPr>
        <w:rFonts w:ascii="Arial" w:hAnsi="Arial" w:hint="default"/>
      </w:rPr>
    </w:lvl>
    <w:lvl w:ilvl="5" w:tplc="3AF2C67E" w:tentative="1">
      <w:start w:val="1"/>
      <w:numFmt w:val="bullet"/>
      <w:lvlText w:val="•"/>
      <w:lvlJc w:val="left"/>
      <w:pPr>
        <w:tabs>
          <w:tab w:val="num" w:pos="4320"/>
        </w:tabs>
        <w:ind w:left="4320" w:hanging="360"/>
      </w:pPr>
      <w:rPr>
        <w:rFonts w:ascii="Arial" w:hAnsi="Arial" w:hint="default"/>
      </w:rPr>
    </w:lvl>
    <w:lvl w:ilvl="6" w:tplc="4B322B26" w:tentative="1">
      <w:start w:val="1"/>
      <w:numFmt w:val="bullet"/>
      <w:lvlText w:val="•"/>
      <w:lvlJc w:val="left"/>
      <w:pPr>
        <w:tabs>
          <w:tab w:val="num" w:pos="5040"/>
        </w:tabs>
        <w:ind w:left="5040" w:hanging="360"/>
      </w:pPr>
      <w:rPr>
        <w:rFonts w:ascii="Arial" w:hAnsi="Arial" w:hint="default"/>
      </w:rPr>
    </w:lvl>
    <w:lvl w:ilvl="7" w:tplc="D1A42118" w:tentative="1">
      <w:start w:val="1"/>
      <w:numFmt w:val="bullet"/>
      <w:lvlText w:val="•"/>
      <w:lvlJc w:val="left"/>
      <w:pPr>
        <w:tabs>
          <w:tab w:val="num" w:pos="5760"/>
        </w:tabs>
        <w:ind w:left="5760" w:hanging="360"/>
      </w:pPr>
      <w:rPr>
        <w:rFonts w:ascii="Arial" w:hAnsi="Arial" w:hint="default"/>
      </w:rPr>
    </w:lvl>
    <w:lvl w:ilvl="8" w:tplc="F0161320" w:tentative="1">
      <w:start w:val="1"/>
      <w:numFmt w:val="bullet"/>
      <w:lvlText w:val="•"/>
      <w:lvlJc w:val="left"/>
      <w:pPr>
        <w:tabs>
          <w:tab w:val="num" w:pos="6480"/>
        </w:tabs>
        <w:ind w:left="6480" w:hanging="360"/>
      </w:pPr>
      <w:rPr>
        <w:rFonts w:ascii="Arial" w:hAnsi="Arial" w:hint="default"/>
      </w:rPr>
    </w:lvl>
  </w:abstractNum>
  <w:abstractNum w:abstractNumId="13">
    <w:nsid w:val="41441039"/>
    <w:multiLevelType w:val="hybridMultilevel"/>
    <w:tmpl w:val="F566D592"/>
    <w:lvl w:ilvl="0" w:tplc="D25CD1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BF6E40"/>
    <w:multiLevelType w:val="hybridMultilevel"/>
    <w:tmpl w:val="97A4D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4D30CBA"/>
    <w:multiLevelType w:val="hybridMultilevel"/>
    <w:tmpl w:val="E9308622"/>
    <w:lvl w:ilvl="0" w:tplc="3866011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45D40F8A"/>
    <w:multiLevelType w:val="hybridMultilevel"/>
    <w:tmpl w:val="BB44AB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nsid w:val="50DB1B78"/>
    <w:multiLevelType w:val="hybridMultilevel"/>
    <w:tmpl w:val="470053D2"/>
    <w:lvl w:ilvl="0" w:tplc="00CE25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1213745"/>
    <w:multiLevelType w:val="hybridMultilevel"/>
    <w:tmpl w:val="026E8BFC"/>
    <w:lvl w:ilvl="0" w:tplc="F68866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776932"/>
    <w:multiLevelType w:val="hybridMultilevel"/>
    <w:tmpl w:val="D96E0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1C0BE8"/>
    <w:multiLevelType w:val="hybridMultilevel"/>
    <w:tmpl w:val="89C83B62"/>
    <w:lvl w:ilvl="0" w:tplc="2EB08D2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A63A0F"/>
    <w:multiLevelType w:val="hybridMultilevel"/>
    <w:tmpl w:val="DF488466"/>
    <w:lvl w:ilvl="0" w:tplc="FB9297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8D475E"/>
    <w:multiLevelType w:val="hybridMultilevel"/>
    <w:tmpl w:val="46942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7771AC"/>
    <w:multiLevelType w:val="hybridMultilevel"/>
    <w:tmpl w:val="2EF836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B63DB6"/>
    <w:multiLevelType w:val="hybridMultilevel"/>
    <w:tmpl w:val="4D728848"/>
    <w:lvl w:ilvl="0" w:tplc="B5E6E6F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AA2523"/>
    <w:multiLevelType w:val="hybridMultilevel"/>
    <w:tmpl w:val="96EC7A1E"/>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6BBF4C64"/>
    <w:multiLevelType w:val="hybridMultilevel"/>
    <w:tmpl w:val="D830481A"/>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5D357C"/>
    <w:multiLevelType w:val="hybridMultilevel"/>
    <w:tmpl w:val="9D0AFA6A"/>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842E88"/>
    <w:multiLevelType w:val="hybridMultilevel"/>
    <w:tmpl w:val="5740BD84"/>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FC6275"/>
    <w:multiLevelType w:val="hybridMultilevel"/>
    <w:tmpl w:val="97865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9"/>
  </w:num>
  <w:num w:numId="3">
    <w:abstractNumId w:val="26"/>
  </w:num>
  <w:num w:numId="4">
    <w:abstractNumId w:val="1"/>
  </w:num>
  <w:num w:numId="5">
    <w:abstractNumId w:val="15"/>
  </w:num>
  <w:num w:numId="6">
    <w:abstractNumId w:val="15"/>
  </w:num>
  <w:num w:numId="7">
    <w:abstractNumId w:val="3"/>
  </w:num>
  <w:num w:numId="8">
    <w:abstractNumId w:val="21"/>
  </w:num>
  <w:num w:numId="9">
    <w:abstractNumId w:val="29"/>
  </w:num>
  <w:num w:numId="10">
    <w:abstractNumId w:val="23"/>
  </w:num>
  <w:num w:numId="11">
    <w:abstractNumId w:val="6"/>
  </w:num>
  <w:num w:numId="12">
    <w:abstractNumId w:val="25"/>
  </w:num>
  <w:num w:numId="13">
    <w:abstractNumId w:val="13"/>
  </w:num>
  <w:num w:numId="14">
    <w:abstractNumId w:val="24"/>
  </w:num>
  <w:num w:numId="15">
    <w:abstractNumId w:val="18"/>
  </w:num>
  <w:num w:numId="16">
    <w:abstractNumId w:val="10"/>
  </w:num>
  <w:num w:numId="17">
    <w:abstractNumId w:val="27"/>
  </w:num>
  <w:num w:numId="18">
    <w:abstractNumId w:val="28"/>
  </w:num>
  <w:num w:numId="19">
    <w:abstractNumId w:val="4"/>
  </w:num>
  <w:num w:numId="20">
    <w:abstractNumId w:val="2"/>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7"/>
  </w:num>
  <w:num w:numId="27">
    <w:abstractNumId w:val="14"/>
  </w:num>
  <w:num w:numId="28">
    <w:abstractNumId w:val="11"/>
  </w:num>
  <w:num w:numId="29">
    <w:abstractNumId w:val="12"/>
  </w:num>
  <w:num w:numId="30">
    <w:abstractNumId w:val="17"/>
  </w:num>
  <w:num w:numId="3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hlén, Anders">
    <w15:presenceInfo w15:providerId="AD" w15:userId="S-1-5-21-220523388-688789844-725345543-338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E42"/>
    <w:rsid w:val="000009C4"/>
    <w:rsid w:val="000017BA"/>
    <w:rsid w:val="000025E8"/>
    <w:rsid w:val="0000290A"/>
    <w:rsid w:val="000041A0"/>
    <w:rsid w:val="0000460F"/>
    <w:rsid w:val="00004D37"/>
    <w:rsid w:val="00004ECE"/>
    <w:rsid w:val="00005285"/>
    <w:rsid w:val="00005494"/>
    <w:rsid w:val="00005621"/>
    <w:rsid w:val="00005BC7"/>
    <w:rsid w:val="00005EDE"/>
    <w:rsid w:val="000063E5"/>
    <w:rsid w:val="00006B17"/>
    <w:rsid w:val="00006F7C"/>
    <w:rsid w:val="0001007F"/>
    <w:rsid w:val="0001015E"/>
    <w:rsid w:val="00010182"/>
    <w:rsid w:val="000105B8"/>
    <w:rsid w:val="000108DA"/>
    <w:rsid w:val="00010AA2"/>
    <w:rsid w:val="00010F1F"/>
    <w:rsid w:val="00010F55"/>
    <w:rsid w:val="00011044"/>
    <w:rsid w:val="0001105F"/>
    <w:rsid w:val="00011C99"/>
    <w:rsid w:val="000122DD"/>
    <w:rsid w:val="000127CA"/>
    <w:rsid w:val="000133E3"/>
    <w:rsid w:val="0001364C"/>
    <w:rsid w:val="000144C2"/>
    <w:rsid w:val="000144C8"/>
    <w:rsid w:val="000147E8"/>
    <w:rsid w:val="000148E0"/>
    <w:rsid w:val="00014A32"/>
    <w:rsid w:val="00015422"/>
    <w:rsid w:val="00015ADD"/>
    <w:rsid w:val="00015B2B"/>
    <w:rsid w:val="00015B8E"/>
    <w:rsid w:val="000166B3"/>
    <w:rsid w:val="000171BE"/>
    <w:rsid w:val="00017363"/>
    <w:rsid w:val="00017C62"/>
    <w:rsid w:val="00020202"/>
    <w:rsid w:val="00020EA0"/>
    <w:rsid w:val="00021E6D"/>
    <w:rsid w:val="000221C0"/>
    <w:rsid w:val="00022538"/>
    <w:rsid w:val="00022C07"/>
    <w:rsid w:val="0002313A"/>
    <w:rsid w:val="000232EA"/>
    <w:rsid w:val="00023A28"/>
    <w:rsid w:val="00024430"/>
    <w:rsid w:val="00024810"/>
    <w:rsid w:val="00024821"/>
    <w:rsid w:val="00024843"/>
    <w:rsid w:val="00024D35"/>
    <w:rsid w:val="000257C5"/>
    <w:rsid w:val="00026280"/>
    <w:rsid w:val="00026378"/>
    <w:rsid w:val="00026485"/>
    <w:rsid w:val="00026E30"/>
    <w:rsid w:val="00027A32"/>
    <w:rsid w:val="00027FB6"/>
    <w:rsid w:val="00030031"/>
    <w:rsid w:val="00030271"/>
    <w:rsid w:val="00030278"/>
    <w:rsid w:val="00030611"/>
    <w:rsid w:val="00030C6E"/>
    <w:rsid w:val="0003131F"/>
    <w:rsid w:val="00031819"/>
    <w:rsid w:val="0003184A"/>
    <w:rsid w:val="000319BC"/>
    <w:rsid w:val="00031BD1"/>
    <w:rsid w:val="00031F14"/>
    <w:rsid w:val="00032115"/>
    <w:rsid w:val="00033058"/>
    <w:rsid w:val="0003305B"/>
    <w:rsid w:val="000334E6"/>
    <w:rsid w:val="000336D3"/>
    <w:rsid w:val="00033910"/>
    <w:rsid w:val="00033D14"/>
    <w:rsid w:val="000348AD"/>
    <w:rsid w:val="000349DA"/>
    <w:rsid w:val="00034D80"/>
    <w:rsid w:val="000354AB"/>
    <w:rsid w:val="00035503"/>
    <w:rsid w:val="00036733"/>
    <w:rsid w:val="0003687F"/>
    <w:rsid w:val="00036BFA"/>
    <w:rsid w:val="000410B9"/>
    <w:rsid w:val="00041518"/>
    <w:rsid w:val="0004152D"/>
    <w:rsid w:val="00041898"/>
    <w:rsid w:val="0004208E"/>
    <w:rsid w:val="00043752"/>
    <w:rsid w:val="0004386D"/>
    <w:rsid w:val="00043B4A"/>
    <w:rsid w:val="00044019"/>
    <w:rsid w:val="00044404"/>
    <w:rsid w:val="000447D0"/>
    <w:rsid w:val="000447FE"/>
    <w:rsid w:val="000449B0"/>
    <w:rsid w:val="00044B75"/>
    <w:rsid w:val="00045119"/>
    <w:rsid w:val="000451B0"/>
    <w:rsid w:val="00045617"/>
    <w:rsid w:val="00045A77"/>
    <w:rsid w:val="00046763"/>
    <w:rsid w:val="000468B5"/>
    <w:rsid w:val="00046D57"/>
    <w:rsid w:val="00050EEA"/>
    <w:rsid w:val="00051A65"/>
    <w:rsid w:val="00051A82"/>
    <w:rsid w:val="00051DCC"/>
    <w:rsid w:val="00052380"/>
    <w:rsid w:val="000525AC"/>
    <w:rsid w:val="0005287A"/>
    <w:rsid w:val="000530C0"/>
    <w:rsid w:val="000538A1"/>
    <w:rsid w:val="00053CEF"/>
    <w:rsid w:val="00053E58"/>
    <w:rsid w:val="000544F3"/>
    <w:rsid w:val="0005476A"/>
    <w:rsid w:val="00054DFE"/>
    <w:rsid w:val="000552F5"/>
    <w:rsid w:val="00055437"/>
    <w:rsid w:val="00055A5B"/>
    <w:rsid w:val="00055C50"/>
    <w:rsid w:val="00056118"/>
    <w:rsid w:val="0005616D"/>
    <w:rsid w:val="000563F5"/>
    <w:rsid w:val="00056BFF"/>
    <w:rsid w:val="00057B1E"/>
    <w:rsid w:val="00057E2E"/>
    <w:rsid w:val="00057F8F"/>
    <w:rsid w:val="0006038A"/>
    <w:rsid w:val="00060931"/>
    <w:rsid w:val="00060F2F"/>
    <w:rsid w:val="00063CB3"/>
    <w:rsid w:val="000641A7"/>
    <w:rsid w:val="00065446"/>
    <w:rsid w:val="000655EF"/>
    <w:rsid w:val="00065E6E"/>
    <w:rsid w:val="0006600E"/>
    <w:rsid w:val="0006645F"/>
    <w:rsid w:val="00066D9F"/>
    <w:rsid w:val="00066DE9"/>
    <w:rsid w:val="00066EA7"/>
    <w:rsid w:val="00067125"/>
    <w:rsid w:val="000673EC"/>
    <w:rsid w:val="0006777B"/>
    <w:rsid w:val="00067B6A"/>
    <w:rsid w:val="0007013F"/>
    <w:rsid w:val="000701CD"/>
    <w:rsid w:val="00070B17"/>
    <w:rsid w:val="00070CEA"/>
    <w:rsid w:val="00070E19"/>
    <w:rsid w:val="0007213A"/>
    <w:rsid w:val="00072A2C"/>
    <w:rsid w:val="00072D33"/>
    <w:rsid w:val="00074659"/>
    <w:rsid w:val="000747E7"/>
    <w:rsid w:val="00075755"/>
    <w:rsid w:val="00076E51"/>
    <w:rsid w:val="000775F2"/>
    <w:rsid w:val="000778A3"/>
    <w:rsid w:val="00077983"/>
    <w:rsid w:val="000779BF"/>
    <w:rsid w:val="00080992"/>
    <w:rsid w:val="00080C04"/>
    <w:rsid w:val="00080C50"/>
    <w:rsid w:val="000825AF"/>
    <w:rsid w:val="00082630"/>
    <w:rsid w:val="00082BEA"/>
    <w:rsid w:val="00082CF9"/>
    <w:rsid w:val="00082F5E"/>
    <w:rsid w:val="000830B3"/>
    <w:rsid w:val="000834F2"/>
    <w:rsid w:val="00083527"/>
    <w:rsid w:val="00083D1B"/>
    <w:rsid w:val="00083D95"/>
    <w:rsid w:val="0008418B"/>
    <w:rsid w:val="00084ED3"/>
    <w:rsid w:val="000852FC"/>
    <w:rsid w:val="00085471"/>
    <w:rsid w:val="0008568C"/>
    <w:rsid w:val="00086107"/>
    <w:rsid w:val="000862F2"/>
    <w:rsid w:val="00086454"/>
    <w:rsid w:val="00086622"/>
    <w:rsid w:val="00087284"/>
    <w:rsid w:val="00087B70"/>
    <w:rsid w:val="00087B78"/>
    <w:rsid w:val="00087DE1"/>
    <w:rsid w:val="00087E13"/>
    <w:rsid w:val="00090170"/>
    <w:rsid w:val="000901C5"/>
    <w:rsid w:val="0009023D"/>
    <w:rsid w:val="0009156C"/>
    <w:rsid w:val="00091B48"/>
    <w:rsid w:val="00091BBD"/>
    <w:rsid w:val="00091EB4"/>
    <w:rsid w:val="0009229C"/>
    <w:rsid w:val="000922D7"/>
    <w:rsid w:val="00092C1D"/>
    <w:rsid w:val="00092D20"/>
    <w:rsid w:val="0009396F"/>
    <w:rsid w:val="00094519"/>
    <w:rsid w:val="00094D1B"/>
    <w:rsid w:val="0009546A"/>
    <w:rsid w:val="000959C8"/>
    <w:rsid w:val="00095ACF"/>
    <w:rsid w:val="00096118"/>
    <w:rsid w:val="00096408"/>
    <w:rsid w:val="00096991"/>
    <w:rsid w:val="00096D0F"/>
    <w:rsid w:val="000976DF"/>
    <w:rsid w:val="00097EC2"/>
    <w:rsid w:val="000A0377"/>
    <w:rsid w:val="000A04C9"/>
    <w:rsid w:val="000A0C49"/>
    <w:rsid w:val="000A0DE2"/>
    <w:rsid w:val="000A1775"/>
    <w:rsid w:val="000A25CA"/>
    <w:rsid w:val="000A35E5"/>
    <w:rsid w:val="000A3956"/>
    <w:rsid w:val="000A3FBA"/>
    <w:rsid w:val="000A4AE5"/>
    <w:rsid w:val="000A4CB8"/>
    <w:rsid w:val="000A5009"/>
    <w:rsid w:val="000A570C"/>
    <w:rsid w:val="000A5A9B"/>
    <w:rsid w:val="000A5BA8"/>
    <w:rsid w:val="000A6021"/>
    <w:rsid w:val="000A6218"/>
    <w:rsid w:val="000A689D"/>
    <w:rsid w:val="000A71D9"/>
    <w:rsid w:val="000A769E"/>
    <w:rsid w:val="000A76C3"/>
    <w:rsid w:val="000A7E5D"/>
    <w:rsid w:val="000A7F42"/>
    <w:rsid w:val="000B0606"/>
    <w:rsid w:val="000B08FB"/>
    <w:rsid w:val="000B1715"/>
    <w:rsid w:val="000B1C8F"/>
    <w:rsid w:val="000B1D73"/>
    <w:rsid w:val="000B2152"/>
    <w:rsid w:val="000B2F1D"/>
    <w:rsid w:val="000B3499"/>
    <w:rsid w:val="000B39E7"/>
    <w:rsid w:val="000B4215"/>
    <w:rsid w:val="000B47AA"/>
    <w:rsid w:val="000B48FF"/>
    <w:rsid w:val="000B49FE"/>
    <w:rsid w:val="000B4ADC"/>
    <w:rsid w:val="000B4E29"/>
    <w:rsid w:val="000B562E"/>
    <w:rsid w:val="000B59C8"/>
    <w:rsid w:val="000B6243"/>
    <w:rsid w:val="000B720E"/>
    <w:rsid w:val="000C02BA"/>
    <w:rsid w:val="000C06E0"/>
    <w:rsid w:val="000C06E4"/>
    <w:rsid w:val="000C148B"/>
    <w:rsid w:val="000C1A93"/>
    <w:rsid w:val="000C1AFD"/>
    <w:rsid w:val="000C24A1"/>
    <w:rsid w:val="000C2BBD"/>
    <w:rsid w:val="000C3164"/>
    <w:rsid w:val="000C356D"/>
    <w:rsid w:val="000C3BDB"/>
    <w:rsid w:val="000C3E77"/>
    <w:rsid w:val="000C4039"/>
    <w:rsid w:val="000C45F3"/>
    <w:rsid w:val="000C49BC"/>
    <w:rsid w:val="000C4D09"/>
    <w:rsid w:val="000C4D85"/>
    <w:rsid w:val="000C5459"/>
    <w:rsid w:val="000C5A2F"/>
    <w:rsid w:val="000C5A7C"/>
    <w:rsid w:val="000C5BFB"/>
    <w:rsid w:val="000C5C0D"/>
    <w:rsid w:val="000C5E9C"/>
    <w:rsid w:val="000C5F15"/>
    <w:rsid w:val="000C6225"/>
    <w:rsid w:val="000C62B6"/>
    <w:rsid w:val="000C660A"/>
    <w:rsid w:val="000C6EF8"/>
    <w:rsid w:val="000C706F"/>
    <w:rsid w:val="000C7496"/>
    <w:rsid w:val="000C759D"/>
    <w:rsid w:val="000C7C2A"/>
    <w:rsid w:val="000D098E"/>
    <w:rsid w:val="000D0C0E"/>
    <w:rsid w:val="000D155B"/>
    <w:rsid w:val="000D17A8"/>
    <w:rsid w:val="000D1D8B"/>
    <w:rsid w:val="000D1F03"/>
    <w:rsid w:val="000D2786"/>
    <w:rsid w:val="000D2E65"/>
    <w:rsid w:val="000D2EAE"/>
    <w:rsid w:val="000D4404"/>
    <w:rsid w:val="000D45E9"/>
    <w:rsid w:val="000D7492"/>
    <w:rsid w:val="000D753A"/>
    <w:rsid w:val="000D7E78"/>
    <w:rsid w:val="000E0021"/>
    <w:rsid w:val="000E0214"/>
    <w:rsid w:val="000E059F"/>
    <w:rsid w:val="000E05CA"/>
    <w:rsid w:val="000E07CF"/>
    <w:rsid w:val="000E09D8"/>
    <w:rsid w:val="000E0E3D"/>
    <w:rsid w:val="000E0F19"/>
    <w:rsid w:val="000E0F8D"/>
    <w:rsid w:val="000E1045"/>
    <w:rsid w:val="000E107A"/>
    <w:rsid w:val="000E172D"/>
    <w:rsid w:val="000E1AEB"/>
    <w:rsid w:val="000E33D1"/>
    <w:rsid w:val="000E3A88"/>
    <w:rsid w:val="000E3D09"/>
    <w:rsid w:val="000E4302"/>
    <w:rsid w:val="000E434E"/>
    <w:rsid w:val="000E525D"/>
    <w:rsid w:val="000E58AE"/>
    <w:rsid w:val="000E740E"/>
    <w:rsid w:val="000E7494"/>
    <w:rsid w:val="000E7FB6"/>
    <w:rsid w:val="000F0645"/>
    <w:rsid w:val="000F0C10"/>
    <w:rsid w:val="000F0CFE"/>
    <w:rsid w:val="000F0FD4"/>
    <w:rsid w:val="000F140D"/>
    <w:rsid w:val="000F144E"/>
    <w:rsid w:val="000F15C3"/>
    <w:rsid w:val="000F1D9C"/>
    <w:rsid w:val="000F259E"/>
    <w:rsid w:val="000F2629"/>
    <w:rsid w:val="000F328D"/>
    <w:rsid w:val="000F3490"/>
    <w:rsid w:val="000F37AB"/>
    <w:rsid w:val="000F3CE7"/>
    <w:rsid w:val="000F46BF"/>
    <w:rsid w:val="000F49B0"/>
    <w:rsid w:val="000F4A62"/>
    <w:rsid w:val="000F4DF8"/>
    <w:rsid w:val="000F4EF4"/>
    <w:rsid w:val="000F56E5"/>
    <w:rsid w:val="000F5AD7"/>
    <w:rsid w:val="000F5DDD"/>
    <w:rsid w:val="000F60CC"/>
    <w:rsid w:val="000F7074"/>
    <w:rsid w:val="000F7381"/>
    <w:rsid w:val="001002D4"/>
    <w:rsid w:val="0010085B"/>
    <w:rsid w:val="00101694"/>
    <w:rsid w:val="00101921"/>
    <w:rsid w:val="001026AB"/>
    <w:rsid w:val="00102BD3"/>
    <w:rsid w:val="0010309D"/>
    <w:rsid w:val="00103110"/>
    <w:rsid w:val="00103333"/>
    <w:rsid w:val="00103364"/>
    <w:rsid w:val="00103B52"/>
    <w:rsid w:val="00103E27"/>
    <w:rsid w:val="001047FC"/>
    <w:rsid w:val="00104BE1"/>
    <w:rsid w:val="00104C7F"/>
    <w:rsid w:val="00104E2D"/>
    <w:rsid w:val="00104FE0"/>
    <w:rsid w:val="00105BEB"/>
    <w:rsid w:val="00106453"/>
    <w:rsid w:val="00106698"/>
    <w:rsid w:val="00106F68"/>
    <w:rsid w:val="00106F9C"/>
    <w:rsid w:val="00107E49"/>
    <w:rsid w:val="00110569"/>
    <w:rsid w:val="001105F1"/>
    <w:rsid w:val="00110916"/>
    <w:rsid w:val="00111201"/>
    <w:rsid w:val="0011190B"/>
    <w:rsid w:val="00111B6F"/>
    <w:rsid w:val="0011249B"/>
    <w:rsid w:val="001127A8"/>
    <w:rsid w:val="00112A2B"/>
    <w:rsid w:val="00112E2A"/>
    <w:rsid w:val="001147AC"/>
    <w:rsid w:val="00114CE9"/>
    <w:rsid w:val="00114F1F"/>
    <w:rsid w:val="00115C65"/>
    <w:rsid w:val="00115F34"/>
    <w:rsid w:val="00115F99"/>
    <w:rsid w:val="001160E0"/>
    <w:rsid w:val="00116265"/>
    <w:rsid w:val="00116446"/>
    <w:rsid w:val="00116752"/>
    <w:rsid w:val="001167B5"/>
    <w:rsid w:val="00116980"/>
    <w:rsid w:val="00116A7E"/>
    <w:rsid w:val="00116F45"/>
    <w:rsid w:val="00117070"/>
    <w:rsid w:val="001174ED"/>
    <w:rsid w:val="0011775E"/>
    <w:rsid w:val="00117A0A"/>
    <w:rsid w:val="00117DE8"/>
    <w:rsid w:val="00120F96"/>
    <w:rsid w:val="0012166B"/>
    <w:rsid w:val="001217A7"/>
    <w:rsid w:val="00122B76"/>
    <w:rsid w:val="00122D91"/>
    <w:rsid w:val="00122F65"/>
    <w:rsid w:val="0012398A"/>
    <w:rsid w:val="00123EFA"/>
    <w:rsid w:val="00124678"/>
    <w:rsid w:val="00124E25"/>
    <w:rsid w:val="00125633"/>
    <w:rsid w:val="00125DFE"/>
    <w:rsid w:val="001262A0"/>
    <w:rsid w:val="00126BD9"/>
    <w:rsid w:val="00127542"/>
    <w:rsid w:val="00127F3C"/>
    <w:rsid w:val="00130671"/>
    <w:rsid w:val="001307E6"/>
    <w:rsid w:val="001308BB"/>
    <w:rsid w:val="0013128B"/>
    <w:rsid w:val="00131B1C"/>
    <w:rsid w:val="00131CEF"/>
    <w:rsid w:val="001329A0"/>
    <w:rsid w:val="0013363E"/>
    <w:rsid w:val="00133D00"/>
    <w:rsid w:val="00134157"/>
    <w:rsid w:val="00134233"/>
    <w:rsid w:val="001343F6"/>
    <w:rsid w:val="001350EE"/>
    <w:rsid w:val="00135470"/>
    <w:rsid w:val="001356C8"/>
    <w:rsid w:val="001356D0"/>
    <w:rsid w:val="0013570D"/>
    <w:rsid w:val="0013603C"/>
    <w:rsid w:val="0013617D"/>
    <w:rsid w:val="0013627A"/>
    <w:rsid w:val="00136B1E"/>
    <w:rsid w:val="00137329"/>
    <w:rsid w:val="0013771D"/>
    <w:rsid w:val="001402DD"/>
    <w:rsid w:val="001412C5"/>
    <w:rsid w:val="00141450"/>
    <w:rsid w:val="00141675"/>
    <w:rsid w:val="00142673"/>
    <w:rsid w:val="0014288B"/>
    <w:rsid w:val="001432E9"/>
    <w:rsid w:val="001435F4"/>
    <w:rsid w:val="00144A1E"/>
    <w:rsid w:val="00144EBA"/>
    <w:rsid w:val="0014506C"/>
    <w:rsid w:val="00145EEC"/>
    <w:rsid w:val="00146CEC"/>
    <w:rsid w:val="001471A2"/>
    <w:rsid w:val="0014737C"/>
    <w:rsid w:val="00147590"/>
    <w:rsid w:val="00150324"/>
    <w:rsid w:val="00150416"/>
    <w:rsid w:val="00150F03"/>
    <w:rsid w:val="0015110A"/>
    <w:rsid w:val="0015188F"/>
    <w:rsid w:val="0015202C"/>
    <w:rsid w:val="00152341"/>
    <w:rsid w:val="001525B1"/>
    <w:rsid w:val="001525B3"/>
    <w:rsid w:val="00152DE6"/>
    <w:rsid w:val="00154DDF"/>
    <w:rsid w:val="00154FA3"/>
    <w:rsid w:val="001554B3"/>
    <w:rsid w:val="001554EB"/>
    <w:rsid w:val="00155629"/>
    <w:rsid w:val="0015578D"/>
    <w:rsid w:val="00155A3E"/>
    <w:rsid w:val="00155A89"/>
    <w:rsid w:val="001563C1"/>
    <w:rsid w:val="00156B4F"/>
    <w:rsid w:val="00157241"/>
    <w:rsid w:val="0015798D"/>
    <w:rsid w:val="00157EA5"/>
    <w:rsid w:val="00160715"/>
    <w:rsid w:val="001616B2"/>
    <w:rsid w:val="0016212D"/>
    <w:rsid w:val="0016224E"/>
    <w:rsid w:val="00163402"/>
    <w:rsid w:val="0016348D"/>
    <w:rsid w:val="00163510"/>
    <w:rsid w:val="00163A25"/>
    <w:rsid w:val="00163C4C"/>
    <w:rsid w:val="00163D63"/>
    <w:rsid w:val="00163FA5"/>
    <w:rsid w:val="00164644"/>
    <w:rsid w:val="001656F4"/>
    <w:rsid w:val="00165B17"/>
    <w:rsid w:val="00165D5D"/>
    <w:rsid w:val="00165DD2"/>
    <w:rsid w:val="00166149"/>
    <w:rsid w:val="00166E3D"/>
    <w:rsid w:val="00167064"/>
    <w:rsid w:val="0016793B"/>
    <w:rsid w:val="00167C27"/>
    <w:rsid w:val="00167C59"/>
    <w:rsid w:val="00167D25"/>
    <w:rsid w:val="001700E4"/>
    <w:rsid w:val="00170EF4"/>
    <w:rsid w:val="0017131E"/>
    <w:rsid w:val="0017150D"/>
    <w:rsid w:val="0017197D"/>
    <w:rsid w:val="00171F99"/>
    <w:rsid w:val="001721BB"/>
    <w:rsid w:val="00172485"/>
    <w:rsid w:val="00172855"/>
    <w:rsid w:val="00172F88"/>
    <w:rsid w:val="0017325C"/>
    <w:rsid w:val="00173363"/>
    <w:rsid w:val="00173381"/>
    <w:rsid w:val="001739DB"/>
    <w:rsid w:val="00173AE3"/>
    <w:rsid w:val="00173EE2"/>
    <w:rsid w:val="00173FF6"/>
    <w:rsid w:val="00174082"/>
    <w:rsid w:val="00174352"/>
    <w:rsid w:val="00174482"/>
    <w:rsid w:val="00174600"/>
    <w:rsid w:val="00174ADF"/>
    <w:rsid w:val="00174AFD"/>
    <w:rsid w:val="00174DDE"/>
    <w:rsid w:val="0017561D"/>
    <w:rsid w:val="0017563B"/>
    <w:rsid w:val="001759A9"/>
    <w:rsid w:val="00175FDF"/>
    <w:rsid w:val="00176149"/>
    <w:rsid w:val="0017644C"/>
    <w:rsid w:val="00176BC9"/>
    <w:rsid w:val="001778D0"/>
    <w:rsid w:val="0018012A"/>
    <w:rsid w:val="00180878"/>
    <w:rsid w:val="001812E2"/>
    <w:rsid w:val="001813A1"/>
    <w:rsid w:val="001818E0"/>
    <w:rsid w:val="00181ABC"/>
    <w:rsid w:val="00181B41"/>
    <w:rsid w:val="00181B71"/>
    <w:rsid w:val="0018251A"/>
    <w:rsid w:val="0018274F"/>
    <w:rsid w:val="0018285C"/>
    <w:rsid w:val="00182A5B"/>
    <w:rsid w:val="00182BFB"/>
    <w:rsid w:val="0018303E"/>
    <w:rsid w:val="0018375A"/>
    <w:rsid w:val="001838F8"/>
    <w:rsid w:val="00183CCF"/>
    <w:rsid w:val="001840E6"/>
    <w:rsid w:val="00184225"/>
    <w:rsid w:val="001847ED"/>
    <w:rsid w:val="00184CA2"/>
    <w:rsid w:val="00184DEB"/>
    <w:rsid w:val="00185098"/>
    <w:rsid w:val="0018574C"/>
    <w:rsid w:val="00185B8F"/>
    <w:rsid w:val="001865F9"/>
    <w:rsid w:val="0018696A"/>
    <w:rsid w:val="00186E08"/>
    <w:rsid w:val="00186FC7"/>
    <w:rsid w:val="001876B7"/>
    <w:rsid w:val="00187E86"/>
    <w:rsid w:val="00187ED2"/>
    <w:rsid w:val="00187F4A"/>
    <w:rsid w:val="001903A9"/>
    <w:rsid w:val="001903E0"/>
    <w:rsid w:val="00190809"/>
    <w:rsid w:val="00191B22"/>
    <w:rsid w:val="00192579"/>
    <w:rsid w:val="001927A9"/>
    <w:rsid w:val="00192C85"/>
    <w:rsid w:val="00192E85"/>
    <w:rsid w:val="00192F4D"/>
    <w:rsid w:val="00192FE8"/>
    <w:rsid w:val="00193584"/>
    <w:rsid w:val="00193602"/>
    <w:rsid w:val="001939BE"/>
    <w:rsid w:val="00193D98"/>
    <w:rsid w:val="0019428B"/>
    <w:rsid w:val="00194AA3"/>
    <w:rsid w:val="00194AE8"/>
    <w:rsid w:val="00195581"/>
    <w:rsid w:val="00197192"/>
    <w:rsid w:val="0019731F"/>
    <w:rsid w:val="0019755F"/>
    <w:rsid w:val="001A088D"/>
    <w:rsid w:val="001A0914"/>
    <w:rsid w:val="001A1041"/>
    <w:rsid w:val="001A11FB"/>
    <w:rsid w:val="001A204E"/>
    <w:rsid w:val="001A210D"/>
    <w:rsid w:val="001A24FF"/>
    <w:rsid w:val="001A26CA"/>
    <w:rsid w:val="001A2FAF"/>
    <w:rsid w:val="001A31C5"/>
    <w:rsid w:val="001A31C7"/>
    <w:rsid w:val="001A3D2A"/>
    <w:rsid w:val="001A3E1B"/>
    <w:rsid w:val="001A4341"/>
    <w:rsid w:val="001A49A2"/>
    <w:rsid w:val="001A4B99"/>
    <w:rsid w:val="001A4C06"/>
    <w:rsid w:val="001A5579"/>
    <w:rsid w:val="001A6225"/>
    <w:rsid w:val="001A654E"/>
    <w:rsid w:val="001A6712"/>
    <w:rsid w:val="001A6B03"/>
    <w:rsid w:val="001A738D"/>
    <w:rsid w:val="001A787D"/>
    <w:rsid w:val="001A7A75"/>
    <w:rsid w:val="001A7B7E"/>
    <w:rsid w:val="001B0CB9"/>
    <w:rsid w:val="001B25B8"/>
    <w:rsid w:val="001B27CE"/>
    <w:rsid w:val="001B392B"/>
    <w:rsid w:val="001B3D76"/>
    <w:rsid w:val="001B405E"/>
    <w:rsid w:val="001B40D2"/>
    <w:rsid w:val="001B469C"/>
    <w:rsid w:val="001B50CF"/>
    <w:rsid w:val="001B5270"/>
    <w:rsid w:val="001B5728"/>
    <w:rsid w:val="001B5D0B"/>
    <w:rsid w:val="001B6CE9"/>
    <w:rsid w:val="001B7435"/>
    <w:rsid w:val="001B7A61"/>
    <w:rsid w:val="001B7D46"/>
    <w:rsid w:val="001B7DBF"/>
    <w:rsid w:val="001C094A"/>
    <w:rsid w:val="001C10D2"/>
    <w:rsid w:val="001C14C4"/>
    <w:rsid w:val="001C16C6"/>
    <w:rsid w:val="001C1AD3"/>
    <w:rsid w:val="001C243D"/>
    <w:rsid w:val="001C26DB"/>
    <w:rsid w:val="001C28B9"/>
    <w:rsid w:val="001C3788"/>
    <w:rsid w:val="001C415D"/>
    <w:rsid w:val="001C4402"/>
    <w:rsid w:val="001C4F22"/>
    <w:rsid w:val="001C4F24"/>
    <w:rsid w:val="001C4FC9"/>
    <w:rsid w:val="001C5155"/>
    <w:rsid w:val="001C5575"/>
    <w:rsid w:val="001C63E7"/>
    <w:rsid w:val="001C77DE"/>
    <w:rsid w:val="001C7994"/>
    <w:rsid w:val="001D02AA"/>
    <w:rsid w:val="001D0938"/>
    <w:rsid w:val="001D0A37"/>
    <w:rsid w:val="001D1CAA"/>
    <w:rsid w:val="001D1D63"/>
    <w:rsid w:val="001D1ECE"/>
    <w:rsid w:val="001D3BE5"/>
    <w:rsid w:val="001D3D0A"/>
    <w:rsid w:val="001D48CA"/>
    <w:rsid w:val="001D4911"/>
    <w:rsid w:val="001D5108"/>
    <w:rsid w:val="001D57F5"/>
    <w:rsid w:val="001D592D"/>
    <w:rsid w:val="001D5ECA"/>
    <w:rsid w:val="001D5FBF"/>
    <w:rsid w:val="001D6B96"/>
    <w:rsid w:val="001D6E92"/>
    <w:rsid w:val="001D6FBD"/>
    <w:rsid w:val="001D79E5"/>
    <w:rsid w:val="001D7A0C"/>
    <w:rsid w:val="001D7C75"/>
    <w:rsid w:val="001D7E5C"/>
    <w:rsid w:val="001D7E8C"/>
    <w:rsid w:val="001D7FEA"/>
    <w:rsid w:val="001E056D"/>
    <w:rsid w:val="001E0C46"/>
    <w:rsid w:val="001E11B1"/>
    <w:rsid w:val="001E12CA"/>
    <w:rsid w:val="001E12F6"/>
    <w:rsid w:val="001E16F5"/>
    <w:rsid w:val="001E1775"/>
    <w:rsid w:val="001E1A9C"/>
    <w:rsid w:val="001E1C69"/>
    <w:rsid w:val="001E1CE1"/>
    <w:rsid w:val="001E2085"/>
    <w:rsid w:val="001E2220"/>
    <w:rsid w:val="001E274F"/>
    <w:rsid w:val="001E32D5"/>
    <w:rsid w:val="001E32D7"/>
    <w:rsid w:val="001E34CF"/>
    <w:rsid w:val="001E474E"/>
    <w:rsid w:val="001E4C32"/>
    <w:rsid w:val="001E5C26"/>
    <w:rsid w:val="001E5C6D"/>
    <w:rsid w:val="001E62C2"/>
    <w:rsid w:val="001E6414"/>
    <w:rsid w:val="001E656D"/>
    <w:rsid w:val="001E65DD"/>
    <w:rsid w:val="001E680C"/>
    <w:rsid w:val="001E6DD6"/>
    <w:rsid w:val="001E6E83"/>
    <w:rsid w:val="001E759A"/>
    <w:rsid w:val="001E78CA"/>
    <w:rsid w:val="001E7DE5"/>
    <w:rsid w:val="001F05A9"/>
    <w:rsid w:val="001F077E"/>
    <w:rsid w:val="001F09DD"/>
    <w:rsid w:val="001F1671"/>
    <w:rsid w:val="001F26C3"/>
    <w:rsid w:val="001F2C77"/>
    <w:rsid w:val="001F3609"/>
    <w:rsid w:val="001F456F"/>
    <w:rsid w:val="001F4FC1"/>
    <w:rsid w:val="001F5A04"/>
    <w:rsid w:val="001F5A55"/>
    <w:rsid w:val="001F5F91"/>
    <w:rsid w:val="001F718C"/>
    <w:rsid w:val="001F7531"/>
    <w:rsid w:val="001F78DC"/>
    <w:rsid w:val="002013DE"/>
    <w:rsid w:val="00201AC9"/>
    <w:rsid w:val="00201EA3"/>
    <w:rsid w:val="00201F7A"/>
    <w:rsid w:val="00202027"/>
    <w:rsid w:val="00202102"/>
    <w:rsid w:val="002027BF"/>
    <w:rsid w:val="00202AFB"/>
    <w:rsid w:val="00203026"/>
    <w:rsid w:val="00203165"/>
    <w:rsid w:val="00203217"/>
    <w:rsid w:val="002035AA"/>
    <w:rsid w:val="00203AEA"/>
    <w:rsid w:val="00204415"/>
    <w:rsid w:val="0020445C"/>
    <w:rsid w:val="00204B32"/>
    <w:rsid w:val="002056AC"/>
    <w:rsid w:val="00205B7A"/>
    <w:rsid w:val="00205BA2"/>
    <w:rsid w:val="0020684A"/>
    <w:rsid w:val="00207E21"/>
    <w:rsid w:val="00210CB5"/>
    <w:rsid w:val="00210F46"/>
    <w:rsid w:val="002110A5"/>
    <w:rsid w:val="00212ADC"/>
    <w:rsid w:val="00214235"/>
    <w:rsid w:val="002143FC"/>
    <w:rsid w:val="0021464A"/>
    <w:rsid w:val="002155E1"/>
    <w:rsid w:val="00215A7B"/>
    <w:rsid w:val="00216B9F"/>
    <w:rsid w:val="002170E0"/>
    <w:rsid w:val="00217D8E"/>
    <w:rsid w:val="002202B0"/>
    <w:rsid w:val="00220470"/>
    <w:rsid w:val="00221003"/>
    <w:rsid w:val="00221C50"/>
    <w:rsid w:val="00221DF2"/>
    <w:rsid w:val="00221EDE"/>
    <w:rsid w:val="002225E7"/>
    <w:rsid w:val="00222893"/>
    <w:rsid w:val="002228C2"/>
    <w:rsid w:val="00223012"/>
    <w:rsid w:val="00223EF0"/>
    <w:rsid w:val="002243F5"/>
    <w:rsid w:val="002244C7"/>
    <w:rsid w:val="002247FB"/>
    <w:rsid w:val="00224C86"/>
    <w:rsid w:val="002252F3"/>
    <w:rsid w:val="0022602E"/>
    <w:rsid w:val="00226648"/>
    <w:rsid w:val="00227514"/>
    <w:rsid w:val="0022777B"/>
    <w:rsid w:val="002279EC"/>
    <w:rsid w:val="00227A12"/>
    <w:rsid w:val="00230571"/>
    <w:rsid w:val="002313F7"/>
    <w:rsid w:val="0023147B"/>
    <w:rsid w:val="00231DE2"/>
    <w:rsid w:val="002321FD"/>
    <w:rsid w:val="0023304D"/>
    <w:rsid w:val="002330F7"/>
    <w:rsid w:val="0023369E"/>
    <w:rsid w:val="002336CC"/>
    <w:rsid w:val="002337FE"/>
    <w:rsid w:val="00233BF8"/>
    <w:rsid w:val="00233EDF"/>
    <w:rsid w:val="00234076"/>
    <w:rsid w:val="002347E3"/>
    <w:rsid w:val="00234A9E"/>
    <w:rsid w:val="00234EA8"/>
    <w:rsid w:val="002353AB"/>
    <w:rsid w:val="002359EB"/>
    <w:rsid w:val="00235FB0"/>
    <w:rsid w:val="00235FC2"/>
    <w:rsid w:val="002363FD"/>
    <w:rsid w:val="0023671F"/>
    <w:rsid w:val="00236AFC"/>
    <w:rsid w:val="002377D7"/>
    <w:rsid w:val="002377F3"/>
    <w:rsid w:val="002406CC"/>
    <w:rsid w:val="00241132"/>
    <w:rsid w:val="00241551"/>
    <w:rsid w:val="002417C1"/>
    <w:rsid w:val="00242580"/>
    <w:rsid w:val="0024273C"/>
    <w:rsid w:val="002429F7"/>
    <w:rsid w:val="00242EF5"/>
    <w:rsid w:val="00243063"/>
    <w:rsid w:val="0024339B"/>
    <w:rsid w:val="0024433D"/>
    <w:rsid w:val="00244689"/>
    <w:rsid w:val="002449B5"/>
    <w:rsid w:val="00245B1B"/>
    <w:rsid w:val="00245FE7"/>
    <w:rsid w:val="00246910"/>
    <w:rsid w:val="00247759"/>
    <w:rsid w:val="00250D2F"/>
    <w:rsid w:val="00250D57"/>
    <w:rsid w:val="002512B3"/>
    <w:rsid w:val="00251EA4"/>
    <w:rsid w:val="0025216D"/>
    <w:rsid w:val="00253228"/>
    <w:rsid w:val="00253A0A"/>
    <w:rsid w:val="00253B4B"/>
    <w:rsid w:val="00253B62"/>
    <w:rsid w:val="00253DA1"/>
    <w:rsid w:val="002542DC"/>
    <w:rsid w:val="002555D6"/>
    <w:rsid w:val="00255DAA"/>
    <w:rsid w:val="00256866"/>
    <w:rsid w:val="00256940"/>
    <w:rsid w:val="00257CD8"/>
    <w:rsid w:val="0026112F"/>
    <w:rsid w:val="00261E15"/>
    <w:rsid w:val="0026206B"/>
    <w:rsid w:val="002624AA"/>
    <w:rsid w:val="002626CC"/>
    <w:rsid w:val="0026289D"/>
    <w:rsid w:val="00262941"/>
    <w:rsid w:val="0026350D"/>
    <w:rsid w:val="00263739"/>
    <w:rsid w:val="002638A1"/>
    <w:rsid w:val="002643AA"/>
    <w:rsid w:val="00264CDD"/>
    <w:rsid w:val="00265E06"/>
    <w:rsid w:val="002664F4"/>
    <w:rsid w:val="00266548"/>
    <w:rsid w:val="00266871"/>
    <w:rsid w:val="00266E4A"/>
    <w:rsid w:val="0026703B"/>
    <w:rsid w:val="002679D3"/>
    <w:rsid w:val="00267A3A"/>
    <w:rsid w:val="00267D2A"/>
    <w:rsid w:val="00270609"/>
    <w:rsid w:val="002707C7"/>
    <w:rsid w:val="00270B06"/>
    <w:rsid w:val="002715EF"/>
    <w:rsid w:val="00271F28"/>
    <w:rsid w:val="002727FB"/>
    <w:rsid w:val="00273005"/>
    <w:rsid w:val="00273EBD"/>
    <w:rsid w:val="00273F81"/>
    <w:rsid w:val="00274F73"/>
    <w:rsid w:val="00275184"/>
    <w:rsid w:val="002754DA"/>
    <w:rsid w:val="002755C5"/>
    <w:rsid w:val="00275AB2"/>
    <w:rsid w:val="00275E8B"/>
    <w:rsid w:val="002764E3"/>
    <w:rsid w:val="00276657"/>
    <w:rsid w:val="002767C0"/>
    <w:rsid w:val="00277A22"/>
    <w:rsid w:val="002801C3"/>
    <w:rsid w:val="002815F2"/>
    <w:rsid w:val="00282412"/>
    <w:rsid w:val="00282536"/>
    <w:rsid w:val="002825E2"/>
    <w:rsid w:val="0028282A"/>
    <w:rsid w:val="002828EF"/>
    <w:rsid w:val="00282B02"/>
    <w:rsid w:val="00282BBF"/>
    <w:rsid w:val="00282FCD"/>
    <w:rsid w:val="00283706"/>
    <w:rsid w:val="00283D33"/>
    <w:rsid w:val="002840B7"/>
    <w:rsid w:val="00284149"/>
    <w:rsid w:val="00284481"/>
    <w:rsid w:val="0028471F"/>
    <w:rsid w:val="00284AD4"/>
    <w:rsid w:val="00284D63"/>
    <w:rsid w:val="00284E35"/>
    <w:rsid w:val="0028514E"/>
    <w:rsid w:val="00285AFE"/>
    <w:rsid w:val="00286121"/>
    <w:rsid w:val="00286C5A"/>
    <w:rsid w:val="002871D3"/>
    <w:rsid w:val="00287872"/>
    <w:rsid w:val="00287F03"/>
    <w:rsid w:val="0029021D"/>
    <w:rsid w:val="002907F9"/>
    <w:rsid w:val="00290B11"/>
    <w:rsid w:val="0029148C"/>
    <w:rsid w:val="00292355"/>
    <w:rsid w:val="00292BEE"/>
    <w:rsid w:val="00293067"/>
    <w:rsid w:val="00293075"/>
    <w:rsid w:val="00293404"/>
    <w:rsid w:val="002935C4"/>
    <w:rsid w:val="00293E8D"/>
    <w:rsid w:val="002942C9"/>
    <w:rsid w:val="00294626"/>
    <w:rsid w:val="002947DB"/>
    <w:rsid w:val="0029499D"/>
    <w:rsid w:val="00294A14"/>
    <w:rsid w:val="00294DED"/>
    <w:rsid w:val="002968E0"/>
    <w:rsid w:val="00297616"/>
    <w:rsid w:val="002A0ADD"/>
    <w:rsid w:val="002A15AC"/>
    <w:rsid w:val="002A1644"/>
    <w:rsid w:val="002A1991"/>
    <w:rsid w:val="002A2CEF"/>
    <w:rsid w:val="002A3673"/>
    <w:rsid w:val="002A3770"/>
    <w:rsid w:val="002A3825"/>
    <w:rsid w:val="002A475B"/>
    <w:rsid w:val="002A487C"/>
    <w:rsid w:val="002A4888"/>
    <w:rsid w:val="002A4D22"/>
    <w:rsid w:val="002A4D8A"/>
    <w:rsid w:val="002A5199"/>
    <w:rsid w:val="002A6116"/>
    <w:rsid w:val="002A68F3"/>
    <w:rsid w:val="002A7488"/>
    <w:rsid w:val="002A75A9"/>
    <w:rsid w:val="002A78BA"/>
    <w:rsid w:val="002A7E86"/>
    <w:rsid w:val="002A7ED2"/>
    <w:rsid w:val="002B04DF"/>
    <w:rsid w:val="002B0B8A"/>
    <w:rsid w:val="002B0EB2"/>
    <w:rsid w:val="002B1BD8"/>
    <w:rsid w:val="002B1ED2"/>
    <w:rsid w:val="002B2D56"/>
    <w:rsid w:val="002B2D69"/>
    <w:rsid w:val="002B2DF0"/>
    <w:rsid w:val="002B2E1D"/>
    <w:rsid w:val="002B2F8F"/>
    <w:rsid w:val="002B4387"/>
    <w:rsid w:val="002B4F3F"/>
    <w:rsid w:val="002B5126"/>
    <w:rsid w:val="002B528E"/>
    <w:rsid w:val="002B594B"/>
    <w:rsid w:val="002B752B"/>
    <w:rsid w:val="002B7D65"/>
    <w:rsid w:val="002B7EA3"/>
    <w:rsid w:val="002C02A5"/>
    <w:rsid w:val="002C03E8"/>
    <w:rsid w:val="002C0448"/>
    <w:rsid w:val="002C09F3"/>
    <w:rsid w:val="002C31C3"/>
    <w:rsid w:val="002C39C4"/>
    <w:rsid w:val="002C3C85"/>
    <w:rsid w:val="002C51C0"/>
    <w:rsid w:val="002C6263"/>
    <w:rsid w:val="002C66C4"/>
    <w:rsid w:val="002C6DCC"/>
    <w:rsid w:val="002C6FCE"/>
    <w:rsid w:val="002C7255"/>
    <w:rsid w:val="002C7540"/>
    <w:rsid w:val="002C75F1"/>
    <w:rsid w:val="002C7A01"/>
    <w:rsid w:val="002D014A"/>
    <w:rsid w:val="002D04F5"/>
    <w:rsid w:val="002D094C"/>
    <w:rsid w:val="002D102F"/>
    <w:rsid w:val="002D103C"/>
    <w:rsid w:val="002D142D"/>
    <w:rsid w:val="002D181D"/>
    <w:rsid w:val="002D1BE0"/>
    <w:rsid w:val="002D1D60"/>
    <w:rsid w:val="002D1EE3"/>
    <w:rsid w:val="002D2073"/>
    <w:rsid w:val="002D25F2"/>
    <w:rsid w:val="002D267A"/>
    <w:rsid w:val="002D2863"/>
    <w:rsid w:val="002D2ACC"/>
    <w:rsid w:val="002D307B"/>
    <w:rsid w:val="002D398E"/>
    <w:rsid w:val="002D5320"/>
    <w:rsid w:val="002D5E8A"/>
    <w:rsid w:val="002D601C"/>
    <w:rsid w:val="002D61E9"/>
    <w:rsid w:val="002D6E14"/>
    <w:rsid w:val="002D7111"/>
    <w:rsid w:val="002D76E3"/>
    <w:rsid w:val="002D7755"/>
    <w:rsid w:val="002D77A1"/>
    <w:rsid w:val="002D7A8B"/>
    <w:rsid w:val="002E0209"/>
    <w:rsid w:val="002E09AF"/>
    <w:rsid w:val="002E1644"/>
    <w:rsid w:val="002E17EC"/>
    <w:rsid w:val="002E22F1"/>
    <w:rsid w:val="002E23B1"/>
    <w:rsid w:val="002E2480"/>
    <w:rsid w:val="002E2621"/>
    <w:rsid w:val="002E2643"/>
    <w:rsid w:val="002E2647"/>
    <w:rsid w:val="002E2894"/>
    <w:rsid w:val="002E299A"/>
    <w:rsid w:val="002E308B"/>
    <w:rsid w:val="002E321B"/>
    <w:rsid w:val="002E342E"/>
    <w:rsid w:val="002E3A31"/>
    <w:rsid w:val="002E3BEE"/>
    <w:rsid w:val="002E4020"/>
    <w:rsid w:val="002E5C42"/>
    <w:rsid w:val="002E5DEE"/>
    <w:rsid w:val="002E612F"/>
    <w:rsid w:val="002E68CE"/>
    <w:rsid w:val="002E734B"/>
    <w:rsid w:val="002E751D"/>
    <w:rsid w:val="002E7A8C"/>
    <w:rsid w:val="002E7C88"/>
    <w:rsid w:val="002E7DE0"/>
    <w:rsid w:val="002F0506"/>
    <w:rsid w:val="002F051B"/>
    <w:rsid w:val="002F06EF"/>
    <w:rsid w:val="002F09AB"/>
    <w:rsid w:val="002F09E2"/>
    <w:rsid w:val="002F19F0"/>
    <w:rsid w:val="002F23F9"/>
    <w:rsid w:val="002F2A60"/>
    <w:rsid w:val="002F2F23"/>
    <w:rsid w:val="002F359C"/>
    <w:rsid w:val="002F372E"/>
    <w:rsid w:val="002F3AE2"/>
    <w:rsid w:val="002F3B87"/>
    <w:rsid w:val="002F432A"/>
    <w:rsid w:val="002F46EC"/>
    <w:rsid w:val="002F479E"/>
    <w:rsid w:val="002F4D22"/>
    <w:rsid w:val="002F4EBA"/>
    <w:rsid w:val="002F4FDA"/>
    <w:rsid w:val="002F52B8"/>
    <w:rsid w:val="002F559E"/>
    <w:rsid w:val="002F61C4"/>
    <w:rsid w:val="002F6694"/>
    <w:rsid w:val="002F66CE"/>
    <w:rsid w:val="002F6A7A"/>
    <w:rsid w:val="002F6FE8"/>
    <w:rsid w:val="002F77DE"/>
    <w:rsid w:val="003006C5"/>
    <w:rsid w:val="00300C2E"/>
    <w:rsid w:val="00300C83"/>
    <w:rsid w:val="00302A6B"/>
    <w:rsid w:val="0030303E"/>
    <w:rsid w:val="0030308D"/>
    <w:rsid w:val="00303671"/>
    <w:rsid w:val="00303724"/>
    <w:rsid w:val="00303CFF"/>
    <w:rsid w:val="003047C7"/>
    <w:rsid w:val="00305C3A"/>
    <w:rsid w:val="003066C8"/>
    <w:rsid w:val="0030680A"/>
    <w:rsid w:val="00306DF6"/>
    <w:rsid w:val="003071E8"/>
    <w:rsid w:val="00307301"/>
    <w:rsid w:val="003073C5"/>
    <w:rsid w:val="003079F7"/>
    <w:rsid w:val="00307DA8"/>
    <w:rsid w:val="0031003B"/>
    <w:rsid w:val="0031045A"/>
    <w:rsid w:val="00310D9E"/>
    <w:rsid w:val="00311972"/>
    <w:rsid w:val="00312F45"/>
    <w:rsid w:val="0031524F"/>
    <w:rsid w:val="00315614"/>
    <w:rsid w:val="00316A29"/>
    <w:rsid w:val="00316B26"/>
    <w:rsid w:val="00317537"/>
    <w:rsid w:val="00317ABC"/>
    <w:rsid w:val="00317EB3"/>
    <w:rsid w:val="003204E6"/>
    <w:rsid w:val="00320566"/>
    <w:rsid w:val="00320795"/>
    <w:rsid w:val="0032109D"/>
    <w:rsid w:val="003213C5"/>
    <w:rsid w:val="00321AE6"/>
    <w:rsid w:val="003227E9"/>
    <w:rsid w:val="0032339B"/>
    <w:rsid w:val="00325102"/>
    <w:rsid w:val="00326297"/>
    <w:rsid w:val="003269C8"/>
    <w:rsid w:val="003271AE"/>
    <w:rsid w:val="00327607"/>
    <w:rsid w:val="00327629"/>
    <w:rsid w:val="003276A5"/>
    <w:rsid w:val="003302EF"/>
    <w:rsid w:val="00330D48"/>
    <w:rsid w:val="00330F1C"/>
    <w:rsid w:val="0033125B"/>
    <w:rsid w:val="00332153"/>
    <w:rsid w:val="003321DA"/>
    <w:rsid w:val="003324E8"/>
    <w:rsid w:val="00332605"/>
    <w:rsid w:val="003329DC"/>
    <w:rsid w:val="00332BB4"/>
    <w:rsid w:val="00332F56"/>
    <w:rsid w:val="00332FE6"/>
    <w:rsid w:val="00333102"/>
    <w:rsid w:val="00334CBF"/>
    <w:rsid w:val="00335498"/>
    <w:rsid w:val="00335A9C"/>
    <w:rsid w:val="0033614A"/>
    <w:rsid w:val="003369A6"/>
    <w:rsid w:val="00336BD9"/>
    <w:rsid w:val="00337153"/>
    <w:rsid w:val="0033736E"/>
    <w:rsid w:val="00337494"/>
    <w:rsid w:val="00337A51"/>
    <w:rsid w:val="00337DC4"/>
    <w:rsid w:val="00340A91"/>
    <w:rsid w:val="00340B5E"/>
    <w:rsid w:val="00340CEA"/>
    <w:rsid w:val="003414F6"/>
    <w:rsid w:val="00341A84"/>
    <w:rsid w:val="00341D94"/>
    <w:rsid w:val="00341EAE"/>
    <w:rsid w:val="0034222F"/>
    <w:rsid w:val="00342293"/>
    <w:rsid w:val="003430F9"/>
    <w:rsid w:val="003434B3"/>
    <w:rsid w:val="00343E55"/>
    <w:rsid w:val="00343F3B"/>
    <w:rsid w:val="0034413B"/>
    <w:rsid w:val="00344367"/>
    <w:rsid w:val="00344DF9"/>
    <w:rsid w:val="003452E6"/>
    <w:rsid w:val="0034535E"/>
    <w:rsid w:val="0034539B"/>
    <w:rsid w:val="00345884"/>
    <w:rsid w:val="00346145"/>
    <w:rsid w:val="00346B80"/>
    <w:rsid w:val="00346D89"/>
    <w:rsid w:val="0034769B"/>
    <w:rsid w:val="00347898"/>
    <w:rsid w:val="00347AAE"/>
    <w:rsid w:val="00347F80"/>
    <w:rsid w:val="003506F6"/>
    <w:rsid w:val="00350D56"/>
    <w:rsid w:val="00351006"/>
    <w:rsid w:val="003522AF"/>
    <w:rsid w:val="003527A8"/>
    <w:rsid w:val="0035289A"/>
    <w:rsid w:val="0035334C"/>
    <w:rsid w:val="00353DDE"/>
    <w:rsid w:val="00354FCE"/>
    <w:rsid w:val="00355229"/>
    <w:rsid w:val="00355264"/>
    <w:rsid w:val="00356005"/>
    <w:rsid w:val="00356878"/>
    <w:rsid w:val="00357B00"/>
    <w:rsid w:val="003607F5"/>
    <w:rsid w:val="00360FC2"/>
    <w:rsid w:val="00361050"/>
    <w:rsid w:val="0036106F"/>
    <w:rsid w:val="003612C5"/>
    <w:rsid w:val="00361F54"/>
    <w:rsid w:val="00362129"/>
    <w:rsid w:val="003624E2"/>
    <w:rsid w:val="00362DB4"/>
    <w:rsid w:val="003638FB"/>
    <w:rsid w:val="003641F1"/>
    <w:rsid w:val="00364668"/>
    <w:rsid w:val="0036497F"/>
    <w:rsid w:val="00364B74"/>
    <w:rsid w:val="00365117"/>
    <w:rsid w:val="0036635D"/>
    <w:rsid w:val="003663D7"/>
    <w:rsid w:val="003664FB"/>
    <w:rsid w:val="00366BE9"/>
    <w:rsid w:val="00366E87"/>
    <w:rsid w:val="0036735C"/>
    <w:rsid w:val="00367376"/>
    <w:rsid w:val="003675EB"/>
    <w:rsid w:val="003701A0"/>
    <w:rsid w:val="0037115F"/>
    <w:rsid w:val="00371527"/>
    <w:rsid w:val="00371DDC"/>
    <w:rsid w:val="00374165"/>
    <w:rsid w:val="00374A47"/>
    <w:rsid w:val="00374ABD"/>
    <w:rsid w:val="00374FAA"/>
    <w:rsid w:val="00375074"/>
    <w:rsid w:val="0037562C"/>
    <w:rsid w:val="00375A69"/>
    <w:rsid w:val="0037696B"/>
    <w:rsid w:val="00377193"/>
    <w:rsid w:val="00377B67"/>
    <w:rsid w:val="00377C9F"/>
    <w:rsid w:val="00377D8F"/>
    <w:rsid w:val="00377F51"/>
    <w:rsid w:val="003805F6"/>
    <w:rsid w:val="00380D49"/>
    <w:rsid w:val="003816E3"/>
    <w:rsid w:val="00381D08"/>
    <w:rsid w:val="00382610"/>
    <w:rsid w:val="003829AE"/>
    <w:rsid w:val="003830BF"/>
    <w:rsid w:val="00383BAF"/>
    <w:rsid w:val="0038402D"/>
    <w:rsid w:val="0038472D"/>
    <w:rsid w:val="00384A14"/>
    <w:rsid w:val="00384F43"/>
    <w:rsid w:val="00385C52"/>
    <w:rsid w:val="003861F9"/>
    <w:rsid w:val="003865EE"/>
    <w:rsid w:val="00386621"/>
    <w:rsid w:val="003867CA"/>
    <w:rsid w:val="00386F61"/>
    <w:rsid w:val="0038719C"/>
    <w:rsid w:val="00390147"/>
    <w:rsid w:val="0039030C"/>
    <w:rsid w:val="00390474"/>
    <w:rsid w:val="003906EB"/>
    <w:rsid w:val="00390843"/>
    <w:rsid w:val="00391273"/>
    <w:rsid w:val="00391737"/>
    <w:rsid w:val="00392A0C"/>
    <w:rsid w:val="00393690"/>
    <w:rsid w:val="00393B5A"/>
    <w:rsid w:val="0039570D"/>
    <w:rsid w:val="00395FC1"/>
    <w:rsid w:val="0039601C"/>
    <w:rsid w:val="003961B1"/>
    <w:rsid w:val="0039683D"/>
    <w:rsid w:val="00396E93"/>
    <w:rsid w:val="0039768E"/>
    <w:rsid w:val="00397AAC"/>
    <w:rsid w:val="003A0487"/>
    <w:rsid w:val="003A1F25"/>
    <w:rsid w:val="003A3109"/>
    <w:rsid w:val="003A31BD"/>
    <w:rsid w:val="003A3221"/>
    <w:rsid w:val="003A4544"/>
    <w:rsid w:val="003A4B8C"/>
    <w:rsid w:val="003A5AC3"/>
    <w:rsid w:val="003A692D"/>
    <w:rsid w:val="003A6BF6"/>
    <w:rsid w:val="003A706B"/>
    <w:rsid w:val="003A778A"/>
    <w:rsid w:val="003A7906"/>
    <w:rsid w:val="003A7C74"/>
    <w:rsid w:val="003B0E76"/>
    <w:rsid w:val="003B125E"/>
    <w:rsid w:val="003B15ED"/>
    <w:rsid w:val="003B18D4"/>
    <w:rsid w:val="003B1F37"/>
    <w:rsid w:val="003B2556"/>
    <w:rsid w:val="003B2A98"/>
    <w:rsid w:val="003B2D72"/>
    <w:rsid w:val="003B3248"/>
    <w:rsid w:val="003B3606"/>
    <w:rsid w:val="003B387D"/>
    <w:rsid w:val="003B408E"/>
    <w:rsid w:val="003B432D"/>
    <w:rsid w:val="003B4E5B"/>
    <w:rsid w:val="003B55B8"/>
    <w:rsid w:val="003B5AE5"/>
    <w:rsid w:val="003B5C44"/>
    <w:rsid w:val="003B5E82"/>
    <w:rsid w:val="003B601F"/>
    <w:rsid w:val="003B6033"/>
    <w:rsid w:val="003B790B"/>
    <w:rsid w:val="003C0264"/>
    <w:rsid w:val="003C0450"/>
    <w:rsid w:val="003C0D1E"/>
    <w:rsid w:val="003C1708"/>
    <w:rsid w:val="003C2084"/>
    <w:rsid w:val="003C229A"/>
    <w:rsid w:val="003C22C2"/>
    <w:rsid w:val="003C32D4"/>
    <w:rsid w:val="003C3585"/>
    <w:rsid w:val="003C38BC"/>
    <w:rsid w:val="003C3C4E"/>
    <w:rsid w:val="003C47A2"/>
    <w:rsid w:val="003C4C23"/>
    <w:rsid w:val="003C52B7"/>
    <w:rsid w:val="003C531B"/>
    <w:rsid w:val="003C5CE4"/>
    <w:rsid w:val="003C69A8"/>
    <w:rsid w:val="003C6AE0"/>
    <w:rsid w:val="003C7E71"/>
    <w:rsid w:val="003D0644"/>
    <w:rsid w:val="003D1304"/>
    <w:rsid w:val="003D1A3F"/>
    <w:rsid w:val="003D1CC6"/>
    <w:rsid w:val="003D1D5E"/>
    <w:rsid w:val="003D2463"/>
    <w:rsid w:val="003D26B0"/>
    <w:rsid w:val="003D2B2D"/>
    <w:rsid w:val="003D2DCE"/>
    <w:rsid w:val="003D302E"/>
    <w:rsid w:val="003D30E7"/>
    <w:rsid w:val="003D32EE"/>
    <w:rsid w:val="003D376D"/>
    <w:rsid w:val="003D3A53"/>
    <w:rsid w:val="003D3A63"/>
    <w:rsid w:val="003D3DD0"/>
    <w:rsid w:val="003D44D6"/>
    <w:rsid w:val="003D4670"/>
    <w:rsid w:val="003D4A49"/>
    <w:rsid w:val="003D4A86"/>
    <w:rsid w:val="003D5B8E"/>
    <w:rsid w:val="003D6158"/>
    <w:rsid w:val="003D6306"/>
    <w:rsid w:val="003D63F0"/>
    <w:rsid w:val="003D6791"/>
    <w:rsid w:val="003D6F96"/>
    <w:rsid w:val="003D7A0A"/>
    <w:rsid w:val="003D7C9F"/>
    <w:rsid w:val="003E1548"/>
    <w:rsid w:val="003E16B2"/>
    <w:rsid w:val="003E23FD"/>
    <w:rsid w:val="003E255B"/>
    <w:rsid w:val="003E2EC6"/>
    <w:rsid w:val="003E2F52"/>
    <w:rsid w:val="003E3361"/>
    <w:rsid w:val="003E46C5"/>
    <w:rsid w:val="003E47C5"/>
    <w:rsid w:val="003E4FF7"/>
    <w:rsid w:val="003E502A"/>
    <w:rsid w:val="003E5504"/>
    <w:rsid w:val="003E6731"/>
    <w:rsid w:val="003E6F92"/>
    <w:rsid w:val="003E7344"/>
    <w:rsid w:val="003E742C"/>
    <w:rsid w:val="003E765C"/>
    <w:rsid w:val="003F01AC"/>
    <w:rsid w:val="003F0206"/>
    <w:rsid w:val="003F0A67"/>
    <w:rsid w:val="003F0BB3"/>
    <w:rsid w:val="003F1A36"/>
    <w:rsid w:val="003F22BB"/>
    <w:rsid w:val="003F2439"/>
    <w:rsid w:val="003F2737"/>
    <w:rsid w:val="003F2BB2"/>
    <w:rsid w:val="003F39F2"/>
    <w:rsid w:val="003F4015"/>
    <w:rsid w:val="003F450B"/>
    <w:rsid w:val="003F4868"/>
    <w:rsid w:val="003F558E"/>
    <w:rsid w:val="003F60BC"/>
    <w:rsid w:val="003F6C9D"/>
    <w:rsid w:val="003F6D32"/>
    <w:rsid w:val="003F726B"/>
    <w:rsid w:val="003F74CF"/>
    <w:rsid w:val="003F7555"/>
    <w:rsid w:val="003F76AA"/>
    <w:rsid w:val="003F76E3"/>
    <w:rsid w:val="0040035E"/>
    <w:rsid w:val="00400377"/>
    <w:rsid w:val="004004BB"/>
    <w:rsid w:val="00400648"/>
    <w:rsid w:val="00400C6E"/>
    <w:rsid w:val="00401D93"/>
    <w:rsid w:val="00402869"/>
    <w:rsid w:val="00403A44"/>
    <w:rsid w:val="00403E21"/>
    <w:rsid w:val="0040451B"/>
    <w:rsid w:val="00404BEB"/>
    <w:rsid w:val="00404DFA"/>
    <w:rsid w:val="00404F75"/>
    <w:rsid w:val="00405054"/>
    <w:rsid w:val="00405371"/>
    <w:rsid w:val="00405FA0"/>
    <w:rsid w:val="00406837"/>
    <w:rsid w:val="00406C43"/>
    <w:rsid w:val="00406FFA"/>
    <w:rsid w:val="00407AE9"/>
    <w:rsid w:val="00407B68"/>
    <w:rsid w:val="00410747"/>
    <w:rsid w:val="00410A73"/>
    <w:rsid w:val="0041186B"/>
    <w:rsid w:val="00412218"/>
    <w:rsid w:val="004124F6"/>
    <w:rsid w:val="004127A1"/>
    <w:rsid w:val="00412F87"/>
    <w:rsid w:val="004138ED"/>
    <w:rsid w:val="00414C37"/>
    <w:rsid w:val="00415374"/>
    <w:rsid w:val="00415856"/>
    <w:rsid w:val="00416392"/>
    <w:rsid w:val="004165E2"/>
    <w:rsid w:val="00416833"/>
    <w:rsid w:val="00416FE6"/>
    <w:rsid w:val="00417972"/>
    <w:rsid w:val="00417F87"/>
    <w:rsid w:val="00420393"/>
    <w:rsid w:val="004203BE"/>
    <w:rsid w:val="0042093A"/>
    <w:rsid w:val="00420D70"/>
    <w:rsid w:val="00420DDC"/>
    <w:rsid w:val="00420F9E"/>
    <w:rsid w:val="00421B88"/>
    <w:rsid w:val="00421CD8"/>
    <w:rsid w:val="00421DB1"/>
    <w:rsid w:val="004220AD"/>
    <w:rsid w:val="0042227C"/>
    <w:rsid w:val="004223F4"/>
    <w:rsid w:val="004226B0"/>
    <w:rsid w:val="00423A63"/>
    <w:rsid w:val="0042416B"/>
    <w:rsid w:val="0042452D"/>
    <w:rsid w:val="00425343"/>
    <w:rsid w:val="00425561"/>
    <w:rsid w:val="00425DAB"/>
    <w:rsid w:val="0042627E"/>
    <w:rsid w:val="00426407"/>
    <w:rsid w:val="00426895"/>
    <w:rsid w:val="00426C8F"/>
    <w:rsid w:val="00426CBF"/>
    <w:rsid w:val="0042737D"/>
    <w:rsid w:val="00427929"/>
    <w:rsid w:val="00427B23"/>
    <w:rsid w:val="00430DA5"/>
    <w:rsid w:val="00431084"/>
    <w:rsid w:val="004313BE"/>
    <w:rsid w:val="0043156B"/>
    <w:rsid w:val="00431DC6"/>
    <w:rsid w:val="004324D7"/>
    <w:rsid w:val="00432983"/>
    <w:rsid w:val="00432CCA"/>
    <w:rsid w:val="004330DF"/>
    <w:rsid w:val="00433264"/>
    <w:rsid w:val="00433D0B"/>
    <w:rsid w:val="00433E3F"/>
    <w:rsid w:val="00434332"/>
    <w:rsid w:val="00434BDC"/>
    <w:rsid w:val="004351A3"/>
    <w:rsid w:val="00435710"/>
    <w:rsid w:val="00435886"/>
    <w:rsid w:val="00436483"/>
    <w:rsid w:val="00436C31"/>
    <w:rsid w:val="004370F2"/>
    <w:rsid w:val="0043724E"/>
    <w:rsid w:val="0043739D"/>
    <w:rsid w:val="00437646"/>
    <w:rsid w:val="0043764F"/>
    <w:rsid w:val="00437AD6"/>
    <w:rsid w:val="00437D04"/>
    <w:rsid w:val="004405FF"/>
    <w:rsid w:val="0044093E"/>
    <w:rsid w:val="0044150A"/>
    <w:rsid w:val="00441997"/>
    <w:rsid w:val="00441D39"/>
    <w:rsid w:val="00441F41"/>
    <w:rsid w:val="00442F9B"/>
    <w:rsid w:val="00442FDE"/>
    <w:rsid w:val="004431DA"/>
    <w:rsid w:val="00443BD2"/>
    <w:rsid w:val="004444C4"/>
    <w:rsid w:val="00444919"/>
    <w:rsid w:val="004457BB"/>
    <w:rsid w:val="004469AC"/>
    <w:rsid w:val="00446A8A"/>
    <w:rsid w:val="00446ED8"/>
    <w:rsid w:val="00447124"/>
    <w:rsid w:val="004471E2"/>
    <w:rsid w:val="00447519"/>
    <w:rsid w:val="00447910"/>
    <w:rsid w:val="004479B0"/>
    <w:rsid w:val="0045058E"/>
    <w:rsid w:val="00450724"/>
    <w:rsid w:val="004514D9"/>
    <w:rsid w:val="00451C57"/>
    <w:rsid w:val="004521DF"/>
    <w:rsid w:val="004524C3"/>
    <w:rsid w:val="004531A0"/>
    <w:rsid w:val="0045347A"/>
    <w:rsid w:val="00453C7E"/>
    <w:rsid w:val="00454804"/>
    <w:rsid w:val="00454888"/>
    <w:rsid w:val="00454A6E"/>
    <w:rsid w:val="00454B36"/>
    <w:rsid w:val="00455546"/>
    <w:rsid w:val="00455B7F"/>
    <w:rsid w:val="00455E09"/>
    <w:rsid w:val="0045634B"/>
    <w:rsid w:val="004567D9"/>
    <w:rsid w:val="00456912"/>
    <w:rsid w:val="00456F21"/>
    <w:rsid w:val="0045713B"/>
    <w:rsid w:val="0045720E"/>
    <w:rsid w:val="004572CC"/>
    <w:rsid w:val="004577FE"/>
    <w:rsid w:val="00457B15"/>
    <w:rsid w:val="00457E02"/>
    <w:rsid w:val="00460646"/>
    <w:rsid w:val="00460A2A"/>
    <w:rsid w:val="00460DD1"/>
    <w:rsid w:val="0046101E"/>
    <w:rsid w:val="00461F81"/>
    <w:rsid w:val="004624FE"/>
    <w:rsid w:val="00462667"/>
    <w:rsid w:val="0046286C"/>
    <w:rsid w:val="0046286D"/>
    <w:rsid w:val="004628E8"/>
    <w:rsid w:val="00463189"/>
    <w:rsid w:val="0046354A"/>
    <w:rsid w:val="00463CCE"/>
    <w:rsid w:val="00463F00"/>
    <w:rsid w:val="00463F0E"/>
    <w:rsid w:val="004640E2"/>
    <w:rsid w:val="0046539F"/>
    <w:rsid w:val="004656B4"/>
    <w:rsid w:val="0046585D"/>
    <w:rsid w:val="004660B2"/>
    <w:rsid w:val="00466973"/>
    <w:rsid w:val="00470160"/>
    <w:rsid w:val="0047017D"/>
    <w:rsid w:val="00470A9B"/>
    <w:rsid w:val="00470AB8"/>
    <w:rsid w:val="00470C00"/>
    <w:rsid w:val="0047107F"/>
    <w:rsid w:val="004714C3"/>
    <w:rsid w:val="00471601"/>
    <w:rsid w:val="00471A83"/>
    <w:rsid w:val="00471BCA"/>
    <w:rsid w:val="004729FF"/>
    <w:rsid w:val="004743A5"/>
    <w:rsid w:val="00474D90"/>
    <w:rsid w:val="0047567D"/>
    <w:rsid w:val="00475914"/>
    <w:rsid w:val="004759C9"/>
    <w:rsid w:val="00476233"/>
    <w:rsid w:val="00476B68"/>
    <w:rsid w:val="00476B75"/>
    <w:rsid w:val="00476D18"/>
    <w:rsid w:val="00476F32"/>
    <w:rsid w:val="00477281"/>
    <w:rsid w:val="00480B5B"/>
    <w:rsid w:val="0048134B"/>
    <w:rsid w:val="00481C2B"/>
    <w:rsid w:val="00481E9F"/>
    <w:rsid w:val="004824B8"/>
    <w:rsid w:val="00482540"/>
    <w:rsid w:val="00482E2F"/>
    <w:rsid w:val="004831E7"/>
    <w:rsid w:val="00483406"/>
    <w:rsid w:val="004858FB"/>
    <w:rsid w:val="00485D58"/>
    <w:rsid w:val="00486316"/>
    <w:rsid w:val="004869C8"/>
    <w:rsid w:val="00486FD9"/>
    <w:rsid w:val="00487053"/>
    <w:rsid w:val="00487B3D"/>
    <w:rsid w:val="00490AEB"/>
    <w:rsid w:val="004912CD"/>
    <w:rsid w:val="004920DD"/>
    <w:rsid w:val="00493625"/>
    <w:rsid w:val="00493CD6"/>
    <w:rsid w:val="004945F0"/>
    <w:rsid w:val="00494C75"/>
    <w:rsid w:val="00494F59"/>
    <w:rsid w:val="00494F72"/>
    <w:rsid w:val="00496CD6"/>
    <w:rsid w:val="0049755B"/>
    <w:rsid w:val="00497970"/>
    <w:rsid w:val="004A0214"/>
    <w:rsid w:val="004A049B"/>
    <w:rsid w:val="004A0AE6"/>
    <w:rsid w:val="004A0E90"/>
    <w:rsid w:val="004A11A1"/>
    <w:rsid w:val="004A1952"/>
    <w:rsid w:val="004A25C0"/>
    <w:rsid w:val="004A26BA"/>
    <w:rsid w:val="004A29D2"/>
    <w:rsid w:val="004A3450"/>
    <w:rsid w:val="004A3628"/>
    <w:rsid w:val="004A4704"/>
    <w:rsid w:val="004A4F9E"/>
    <w:rsid w:val="004A4FFD"/>
    <w:rsid w:val="004A524B"/>
    <w:rsid w:val="004A55AC"/>
    <w:rsid w:val="004A5A14"/>
    <w:rsid w:val="004A5FAA"/>
    <w:rsid w:val="004A635B"/>
    <w:rsid w:val="004A654D"/>
    <w:rsid w:val="004A68B8"/>
    <w:rsid w:val="004A68E5"/>
    <w:rsid w:val="004A718D"/>
    <w:rsid w:val="004A71D5"/>
    <w:rsid w:val="004A7B9B"/>
    <w:rsid w:val="004B0295"/>
    <w:rsid w:val="004B0656"/>
    <w:rsid w:val="004B116F"/>
    <w:rsid w:val="004B15EE"/>
    <w:rsid w:val="004B16C4"/>
    <w:rsid w:val="004B19B7"/>
    <w:rsid w:val="004B1A9E"/>
    <w:rsid w:val="004B21E9"/>
    <w:rsid w:val="004B2C0E"/>
    <w:rsid w:val="004B36B4"/>
    <w:rsid w:val="004B397F"/>
    <w:rsid w:val="004B4096"/>
    <w:rsid w:val="004B460A"/>
    <w:rsid w:val="004B4787"/>
    <w:rsid w:val="004B55DA"/>
    <w:rsid w:val="004B6FCE"/>
    <w:rsid w:val="004B7A19"/>
    <w:rsid w:val="004C0D4A"/>
    <w:rsid w:val="004C1585"/>
    <w:rsid w:val="004C274B"/>
    <w:rsid w:val="004C2B15"/>
    <w:rsid w:val="004C327E"/>
    <w:rsid w:val="004C372B"/>
    <w:rsid w:val="004C372F"/>
    <w:rsid w:val="004C3BD0"/>
    <w:rsid w:val="004C4CC8"/>
    <w:rsid w:val="004C4CEC"/>
    <w:rsid w:val="004C4F65"/>
    <w:rsid w:val="004C56C9"/>
    <w:rsid w:val="004C6CF9"/>
    <w:rsid w:val="004C6DD6"/>
    <w:rsid w:val="004C75EF"/>
    <w:rsid w:val="004C7A90"/>
    <w:rsid w:val="004D0799"/>
    <w:rsid w:val="004D0F40"/>
    <w:rsid w:val="004D11D2"/>
    <w:rsid w:val="004D1246"/>
    <w:rsid w:val="004D281C"/>
    <w:rsid w:val="004D28AB"/>
    <w:rsid w:val="004D48B8"/>
    <w:rsid w:val="004D48C0"/>
    <w:rsid w:val="004D5579"/>
    <w:rsid w:val="004D6F0F"/>
    <w:rsid w:val="004D7B03"/>
    <w:rsid w:val="004D7BE3"/>
    <w:rsid w:val="004D7C4D"/>
    <w:rsid w:val="004E0862"/>
    <w:rsid w:val="004E0CD1"/>
    <w:rsid w:val="004E1BC1"/>
    <w:rsid w:val="004E21DE"/>
    <w:rsid w:val="004E290E"/>
    <w:rsid w:val="004E2C7C"/>
    <w:rsid w:val="004E2DB9"/>
    <w:rsid w:val="004E3292"/>
    <w:rsid w:val="004E47A1"/>
    <w:rsid w:val="004E522A"/>
    <w:rsid w:val="004E553E"/>
    <w:rsid w:val="004E5606"/>
    <w:rsid w:val="004E5C7A"/>
    <w:rsid w:val="004E63A5"/>
    <w:rsid w:val="004E63F5"/>
    <w:rsid w:val="004E6509"/>
    <w:rsid w:val="004E68E3"/>
    <w:rsid w:val="004E6FEC"/>
    <w:rsid w:val="004E7127"/>
    <w:rsid w:val="004E71C0"/>
    <w:rsid w:val="004E7DD8"/>
    <w:rsid w:val="004E7DF4"/>
    <w:rsid w:val="004F0089"/>
    <w:rsid w:val="004F082E"/>
    <w:rsid w:val="004F0C72"/>
    <w:rsid w:val="004F124F"/>
    <w:rsid w:val="004F125A"/>
    <w:rsid w:val="004F1847"/>
    <w:rsid w:val="004F1895"/>
    <w:rsid w:val="004F196A"/>
    <w:rsid w:val="004F19A6"/>
    <w:rsid w:val="004F2090"/>
    <w:rsid w:val="004F28D3"/>
    <w:rsid w:val="004F2D47"/>
    <w:rsid w:val="004F338A"/>
    <w:rsid w:val="004F3E27"/>
    <w:rsid w:val="004F3E72"/>
    <w:rsid w:val="004F4159"/>
    <w:rsid w:val="004F5851"/>
    <w:rsid w:val="004F58F2"/>
    <w:rsid w:val="004F6158"/>
    <w:rsid w:val="004F63B9"/>
    <w:rsid w:val="004F65C9"/>
    <w:rsid w:val="004F6AA8"/>
    <w:rsid w:val="004F761A"/>
    <w:rsid w:val="004F772A"/>
    <w:rsid w:val="004F7E2C"/>
    <w:rsid w:val="00500ECC"/>
    <w:rsid w:val="00501043"/>
    <w:rsid w:val="005011E1"/>
    <w:rsid w:val="00501B6D"/>
    <w:rsid w:val="0050202F"/>
    <w:rsid w:val="005027BF"/>
    <w:rsid w:val="005028EA"/>
    <w:rsid w:val="00502C53"/>
    <w:rsid w:val="00503BDC"/>
    <w:rsid w:val="00503C99"/>
    <w:rsid w:val="005040D2"/>
    <w:rsid w:val="005044FA"/>
    <w:rsid w:val="005047FD"/>
    <w:rsid w:val="00504EA0"/>
    <w:rsid w:val="00505CC6"/>
    <w:rsid w:val="00505E0A"/>
    <w:rsid w:val="00506325"/>
    <w:rsid w:val="00506587"/>
    <w:rsid w:val="00506993"/>
    <w:rsid w:val="00507586"/>
    <w:rsid w:val="00507BFB"/>
    <w:rsid w:val="00510A1F"/>
    <w:rsid w:val="00511864"/>
    <w:rsid w:val="00511FE0"/>
    <w:rsid w:val="005125C1"/>
    <w:rsid w:val="0051281D"/>
    <w:rsid w:val="00512DD4"/>
    <w:rsid w:val="00513329"/>
    <w:rsid w:val="00513684"/>
    <w:rsid w:val="00513818"/>
    <w:rsid w:val="00513A1E"/>
    <w:rsid w:val="00513A70"/>
    <w:rsid w:val="00513AD8"/>
    <w:rsid w:val="0051488D"/>
    <w:rsid w:val="00515058"/>
    <w:rsid w:val="005154AD"/>
    <w:rsid w:val="00515568"/>
    <w:rsid w:val="0051560F"/>
    <w:rsid w:val="00516C91"/>
    <w:rsid w:val="00516F3B"/>
    <w:rsid w:val="00517258"/>
    <w:rsid w:val="005173BF"/>
    <w:rsid w:val="00517864"/>
    <w:rsid w:val="005178E0"/>
    <w:rsid w:val="00520D06"/>
    <w:rsid w:val="00521558"/>
    <w:rsid w:val="00523715"/>
    <w:rsid w:val="00523F6F"/>
    <w:rsid w:val="00524795"/>
    <w:rsid w:val="00524BB1"/>
    <w:rsid w:val="005259D0"/>
    <w:rsid w:val="00525DF3"/>
    <w:rsid w:val="00525E81"/>
    <w:rsid w:val="005262F2"/>
    <w:rsid w:val="005263E1"/>
    <w:rsid w:val="005269C2"/>
    <w:rsid w:val="00526B53"/>
    <w:rsid w:val="00526E06"/>
    <w:rsid w:val="00527CEB"/>
    <w:rsid w:val="00530747"/>
    <w:rsid w:val="00530B89"/>
    <w:rsid w:val="00531044"/>
    <w:rsid w:val="005310A7"/>
    <w:rsid w:val="0053161A"/>
    <w:rsid w:val="005317B9"/>
    <w:rsid w:val="00531809"/>
    <w:rsid w:val="005322AD"/>
    <w:rsid w:val="0053269E"/>
    <w:rsid w:val="00532E33"/>
    <w:rsid w:val="005334A8"/>
    <w:rsid w:val="00533614"/>
    <w:rsid w:val="005339AB"/>
    <w:rsid w:val="00533DE4"/>
    <w:rsid w:val="005340CE"/>
    <w:rsid w:val="0053484D"/>
    <w:rsid w:val="00534F4E"/>
    <w:rsid w:val="00535101"/>
    <w:rsid w:val="005356DC"/>
    <w:rsid w:val="005359AC"/>
    <w:rsid w:val="005359CF"/>
    <w:rsid w:val="00535CC3"/>
    <w:rsid w:val="00535DF9"/>
    <w:rsid w:val="0053634A"/>
    <w:rsid w:val="00536652"/>
    <w:rsid w:val="00536799"/>
    <w:rsid w:val="005368CE"/>
    <w:rsid w:val="00536A27"/>
    <w:rsid w:val="0053761D"/>
    <w:rsid w:val="00537F41"/>
    <w:rsid w:val="00540D0E"/>
    <w:rsid w:val="0054113E"/>
    <w:rsid w:val="00541A08"/>
    <w:rsid w:val="00542253"/>
    <w:rsid w:val="00542787"/>
    <w:rsid w:val="00542814"/>
    <w:rsid w:val="00542CB6"/>
    <w:rsid w:val="0054352C"/>
    <w:rsid w:val="00543AC9"/>
    <w:rsid w:val="00543AF3"/>
    <w:rsid w:val="00543CA0"/>
    <w:rsid w:val="00543F0E"/>
    <w:rsid w:val="0054431C"/>
    <w:rsid w:val="005443E4"/>
    <w:rsid w:val="00544803"/>
    <w:rsid w:val="00544D06"/>
    <w:rsid w:val="00545063"/>
    <w:rsid w:val="00545646"/>
    <w:rsid w:val="00545924"/>
    <w:rsid w:val="00545EF5"/>
    <w:rsid w:val="00546B98"/>
    <w:rsid w:val="00546BBB"/>
    <w:rsid w:val="0054707E"/>
    <w:rsid w:val="00547261"/>
    <w:rsid w:val="00547973"/>
    <w:rsid w:val="00547DF5"/>
    <w:rsid w:val="0055031A"/>
    <w:rsid w:val="00550614"/>
    <w:rsid w:val="00550ADF"/>
    <w:rsid w:val="00550E0C"/>
    <w:rsid w:val="00551932"/>
    <w:rsid w:val="00551B8E"/>
    <w:rsid w:val="00552052"/>
    <w:rsid w:val="005522C5"/>
    <w:rsid w:val="005527FF"/>
    <w:rsid w:val="00554309"/>
    <w:rsid w:val="0055464F"/>
    <w:rsid w:val="00554B37"/>
    <w:rsid w:val="00555010"/>
    <w:rsid w:val="00555106"/>
    <w:rsid w:val="00555347"/>
    <w:rsid w:val="005553DB"/>
    <w:rsid w:val="005562F2"/>
    <w:rsid w:val="00556361"/>
    <w:rsid w:val="0055780E"/>
    <w:rsid w:val="005579C9"/>
    <w:rsid w:val="0056074E"/>
    <w:rsid w:val="00561142"/>
    <w:rsid w:val="0056154E"/>
    <w:rsid w:val="005618F7"/>
    <w:rsid w:val="005626FD"/>
    <w:rsid w:val="00562D9E"/>
    <w:rsid w:val="005635B7"/>
    <w:rsid w:val="0056435D"/>
    <w:rsid w:val="0056492C"/>
    <w:rsid w:val="00564DEA"/>
    <w:rsid w:val="00564FE3"/>
    <w:rsid w:val="0056558E"/>
    <w:rsid w:val="00565EBD"/>
    <w:rsid w:val="00565ECC"/>
    <w:rsid w:val="0056605D"/>
    <w:rsid w:val="005661F9"/>
    <w:rsid w:val="005669A7"/>
    <w:rsid w:val="00566D06"/>
    <w:rsid w:val="00566D38"/>
    <w:rsid w:val="00567849"/>
    <w:rsid w:val="00567FBE"/>
    <w:rsid w:val="00570010"/>
    <w:rsid w:val="00570517"/>
    <w:rsid w:val="005707EB"/>
    <w:rsid w:val="00570CF9"/>
    <w:rsid w:val="00571E4F"/>
    <w:rsid w:val="0057212A"/>
    <w:rsid w:val="005728E2"/>
    <w:rsid w:val="00572DF7"/>
    <w:rsid w:val="005733F1"/>
    <w:rsid w:val="005734A0"/>
    <w:rsid w:val="00573568"/>
    <w:rsid w:val="00573576"/>
    <w:rsid w:val="005737B9"/>
    <w:rsid w:val="00574511"/>
    <w:rsid w:val="005745EF"/>
    <w:rsid w:val="00574A2B"/>
    <w:rsid w:val="0057535A"/>
    <w:rsid w:val="0057607E"/>
    <w:rsid w:val="005760B2"/>
    <w:rsid w:val="0057640D"/>
    <w:rsid w:val="005767BC"/>
    <w:rsid w:val="00576824"/>
    <w:rsid w:val="00576C8D"/>
    <w:rsid w:val="00577307"/>
    <w:rsid w:val="00580074"/>
    <w:rsid w:val="00580F0D"/>
    <w:rsid w:val="00581288"/>
    <w:rsid w:val="00581D90"/>
    <w:rsid w:val="00582137"/>
    <w:rsid w:val="0058276B"/>
    <w:rsid w:val="005838A3"/>
    <w:rsid w:val="00583906"/>
    <w:rsid w:val="00583B8D"/>
    <w:rsid w:val="005842F3"/>
    <w:rsid w:val="005844E9"/>
    <w:rsid w:val="00584630"/>
    <w:rsid w:val="00584EAF"/>
    <w:rsid w:val="005852AC"/>
    <w:rsid w:val="00585739"/>
    <w:rsid w:val="005857B4"/>
    <w:rsid w:val="0058644F"/>
    <w:rsid w:val="00586D2E"/>
    <w:rsid w:val="00586E47"/>
    <w:rsid w:val="00586E56"/>
    <w:rsid w:val="005870BD"/>
    <w:rsid w:val="005870EF"/>
    <w:rsid w:val="0058720D"/>
    <w:rsid w:val="00587688"/>
    <w:rsid w:val="00587B12"/>
    <w:rsid w:val="00587B6D"/>
    <w:rsid w:val="0059076C"/>
    <w:rsid w:val="0059143F"/>
    <w:rsid w:val="0059247C"/>
    <w:rsid w:val="00592524"/>
    <w:rsid w:val="0059343D"/>
    <w:rsid w:val="0059448A"/>
    <w:rsid w:val="005944EF"/>
    <w:rsid w:val="00594D28"/>
    <w:rsid w:val="005951F2"/>
    <w:rsid w:val="00595848"/>
    <w:rsid w:val="0059593C"/>
    <w:rsid w:val="00595E03"/>
    <w:rsid w:val="005961CB"/>
    <w:rsid w:val="0059686A"/>
    <w:rsid w:val="00596B19"/>
    <w:rsid w:val="00597111"/>
    <w:rsid w:val="005975E7"/>
    <w:rsid w:val="00597692"/>
    <w:rsid w:val="00597F5D"/>
    <w:rsid w:val="005A0B5C"/>
    <w:rsid w:val="005A11BA"/>
    <w:rsid w:val="005A1551"/>
    <w:rsid w:val="005A16CA"/>
    <w:rsid w:val="005A1911"/>
    <w:rsid w:val="005A196D"/>
    <w:rsid w:val="005A1E2A"/>
    <w:rsid w:val="005A2A0C"/>
    <w:rsid w:val="005A2B9B"/>
    <w:rsid w:val="005A2F5F"/>
    <w:rsid w:val="005A3421"/>
    <w:rsid w:val="005A378A"/>
    <w:rsid w:val="005A3D51"/>
    <w:rsid w:val="005A4C8F"/>
    <w:rsid w:val="005A4FC6"/>
    <w:rsid w:val="005A54F4"/>
    <w:rsid w:val="005A58DC"/>
    <w:rsid w:val="005A5C7D"/>
    <w:rsid w:val="005A6375"/>
    <w:rsid w:val="005A638A"/>
    <w:rsid w:val="005A72DD"/>
    <w:rsid w:val="005A7325"/>
    <w:rsid w:val="005A76AC"/>
    <w:rsid w:val="005B0809"/>
    <w:rsid w:val="005B0EC5"/>
    <w:rsid w:val="005B1146"/>
    <w:rsid w:val="005B152C"/>
    <w:rsid w:val="005B1BFC"/>
    <w:rsid w:val="005B2A5B"/>
    <w:rsid w:val="005B2ED9"/>
    <w:rsid w:val="005B3260"/>
    <w:rsid w:val="005B32B8"/>
    <w:rsid w:val="005B3E00"/>
    <w:rsid w:val="005B4304"/>
    <w:rsid w:val="005B4861"/>
    <w:rsid w:val="005B6E74"/>
    <w:rsid w:val="005B72B4"/>
    <w:rsid w:val="005B73BF"/>
    <w:rsid w:val="005B7FC7"/>
    <w:rsid w:val="005C0438"/>
    <w:rsid w:val="005C0623"/>
    <w:rsid w:val="005C105C"/>
    <w:rsid w:val="005C106D"/>
    <w:rsid w:val="005C19C1"/>
    <w:rsid w:val="005C1BEB"/>
    <w:rsid w:val="005C21E7"/>
    <w:rsid w:val="005C24EF"/>
    <w:rsid w:val="005C265E"/>
    <w:rsid w:val="005C2765"/>
    <w:rsid w:val="005C28A7"/>
    <w:rsid w:val="005C316D"/>
    <w:rsid w:val="005C32D6"/>
    <w:rsid w:val="005C3F4D"/>
    <w:rsid w:val="005C42E2"/>
    <w:rsid w:val="005C42EF"/>
    <w:rsid w:val="005C468B"/>
    <w:rsid w:val="005C4EFC"/>
    <w:rsid w:val="005C5729"/>
    <w:rsid w:val="005C5B6C"/>
    <w:rsid w:val="005C6508"/>
    <w:rsid w:val="005C67F5"/>
    <w:rsid w:val="005C6C73"/>
    <w:rsid w:val="005C7EC7"/>
    <w:rsid w:val="005C7F09"/>
    <w:rsid w:val="005C7FC6"/>
    <w:rsid w:val="005D022C"/>
    <w:rsid w:val="005D069D"/>
    <w:rsid w:val="005D0D52"/>
    <w:rsid w:val="005D0D76"/>
    <w:rsid w:val="005D1179"/>
    <w:rsid w:val="005D1CA0"/>
    <w:rsid w:val="005D204B"/>
    <w:rsid w:val="005D28D7"/>
    <w:rsid w:val="005D2EC1"/>
    <w:rsid w:val="005D306E"/>
    <w:rsid w:val="005D31B1"/>
    <w:rsid w:val="005D3313"/>
    <w:rsid w:val="005D3508"/>
    <w:rsid w:val="005D3A22"/>
    <w:rsid w:val="005D46EC"/>
    <w:rsid w:val="005D5A49"/>
    <w:rsid w:val="005D5F4F"/>
    <w:rsid w:val="005D655E"/>
    <w:rsid w:val="005D672D"/>
    <w:rsid w:val="005D6A8F"/>
    <w:rsid w:val="005D6B61"/>
    <w:rsid w:val="005D7614"/>
    <w:rsid w:val="005E03C1"/>
    <w:rsid w:val="005E0BF5"/>
    <w:rsid w:val="005E0F51"/>
    <w:rsid w:val="005E1230"/>
    <w:rsid w:val="005E1B1F"/>
    <w:rsid w:val="005E1B6B"/>
    <w:rsid w:val="005E2179"/>
    <w:rsid w:val="005E281F"/>
    <w:rsid w:val="005E2841"/>
    <w:rsid w:val="005E342D"/>
    <w:rsid w:val="005E3E74"/>
    <w:rsid w:val="005E4138"/>
    <w:rsid w:val="005E44B7"/>
    <w:rsid w:val="005E46B6"/>
    <w:rsid w:val="005E56B5"/>
    <w:rsid w:val="005E5FD3"/>
    <w:rsid w:val="005E64AD"/>
    <w:rsid w:val="005E67EB"/>
    <w:rsid w:val="005E6DDE"/>
    <w:rsid w:val="005F0CDC"/>
    <w:rsid w:val="005F10DF"/>
    <w:rsid w:val="005F1D15"/>
    <w:rsid w:val="005F32A7"/>
    <w:rsid w:val="005F3AE3"/>
    <w:rsid w:val="005F45DA"/>
    <w:rsid w:val="005F4725"/>
    <w:rsid w:val="005F5581"/>
    <w:rsid w:val="005F558D"/>
    <w:rsid w:val="005F60EE"/>
    <w:rsid w:val="005F66B1"/>
    <w:rsid w:val="005F66F0"/>
    <w:rsid w:val="005F6C46"/>
    <w:rsid w:val="005F6F87"/>
    <w:rsid w:val="005F7008"/>
    <w:rsid w:val="005F7383"/>
    <w:rsid w:val="005F76ED"/>
    <w:rsid w:val="005F7938"/>
    <w:rsid w:val="00600536"/>
    <w:rsid w:val="0060101A"/>
    <w:rsid w:val="00601764"/>
    <w:rsid w:val="00601AC5"/>
    <w:rsid w:val="00601CDB"/>
    <w:rsid w:val="00602BA4"/>
    <w:rsid w:val="00603387"/>
    <w:rsid w:val="00603A2C"/>
    <w:rsid w:val="00603E65"/>
    <w:rsid w:val="0060487B"/>
    <w:rsid w:val="00604DB6"/>
    <w:rsid w:val="00604F37"/>
    <w:rsid w:val="00604F87"/>
    <w:rsid w:val="00605334"/>
    <w:rsid w:val="0060579F"/>
    <w:rsid w:val="00605E31"/>
    <w:rsid w:val="00605FC7"/>
    <w:rsid w:val="006064E8"/>
    <w:rsid w:val="0060653F"/>
    <w:rsid w:val="006066C8"/>
    <w:rsid w:val="00606780"/>
    <w:rsid w:val="00606F5E"/>
    <w:rsid w:val="0060708C"/>
    <w:rsid w:val="006076CF"/>
    <w:rsid w:val="00607CB6"/>
    <w:rsid w:val="0061008B"/>
    <w:rsid w:val="00611339"/>
    <w:rsid w:val="0061176F"/>
    <w:rsid w:val="0061360B"/>
    <w:rsid w:val="00613D28"/>
    <w:rsid w:val="00613E36"/>
    <w:rsid w:val="00613F1F"/>
    <w:rsid w:val="00614261"/>
    <w:rsid w:val="006142CB"/>
    <w:rsid w:val="00614397"/>
    <w:rsid w:val="00614CCE"/>
    <w:rsid w:val="00614EF5"/>
    <w:rsid w:val="006155F3"/>
    <w:rsid w:val="00615705"/>
    <w:rsid w:val="00616884"/>
    <w:rsid w:val="006168D3"/>
    <w:rsid w:val="00620421"/>
    <w:rsid w:val="0062145B"/>
    <w:rsid w:val="00621D2C"/>
    <w:rsid w:val="0062213C"/>
    <w:rsid w:val="00622B41"/>
    <w:rsid w:val="006231A0"/>
    <w:rsid w:val="0062363C"/>
    <w:rsid w:val="00623DCD"/>
    <w:rsid w:val="006249C1"/>
    <w:rsid w:val="00625157"/>
    <w:rsid w:val="00625283"/>
    <w:rsid w:val="00625C95"/>
    <w:rsid w:val="00625D16"/>
    <w:rsid w:val="0062669A"/>
    <w:rsid w:val="00626C1C"/>
    <w:rsid w:val="00626CCC"/>
    <w:rsid w:val="00626F47"/>
    <w:rsid w:val="00627312"/>
    <w:rsid w:val="00630025"/>
    <w:rsid w:val="0063004D"/>
    <w:rsid w:val="0063011B"/>
    <w:rsid w:val="00630AD0"/>
    <w:rsid w:val="0063154B"/>
    <w:rsid w:val="00631F21"/>
    <w:rsid w:val="00631FFC"/>
    <w:rsid w:val="006325F3"/>
    <w:rsid w:val="0063282F"/>
    <w:rsid w:val="00633A53"/>
    <w:rsid w:val="00633A56"/>
    <w:rsid w:val="006340A6"/>
    <w:rsid w:val="00634AAD"/>
    <w:rsid w:val="00634DE8"/>
    <w:rsid w:val="00634F5F"/>
    <w:rsid w:val="006357FE"/>
    <w:rsid w:val="00636952"/>
    <w:rsid w:val="00636DA0"/>
    <w:rsid w:val="006375CA"/>
    <w:rsid w:val="00637928"/>
    <w:rsid w:val="00637952"/>
    <w:rsid w:val="006406AB"/>
    <w:rsid w:val="00640819"/>
    <w:rsid w:val="00641530"/>
    <w:rsid w:val="0064212D"/>
    <w:rsid w:val="0064306D"/>
    <w:rsid w:val="00643D8F"/>
    <w:rsid w:val="00643F7B"/>
    <w:rsid w:val="0064420D"/>
    <w:rsid w:val="006456B4"/>
    <w:rsid w:val="006457E9"/>
    <w:rsid w:val="00645B05"/>
    <w:rsid w:val="0064605D"/>
    <w:rsid w:val="006463D2"/>
    <w:rsid w:val="00646BE1"/>
    <w:rsid w:val="00646FE9"/>
    <w:rsid w:val="006474CC"/>
    <w:rsid w:val="0064762B"/>
    <w:rsid w:val="00651A1E"/>
    <w:rsid w:val="00651D1D"/>
    <w:rsid w:val="0065241A"/>
    <w:rsid w:val="006527A8"/>
    <w:rsid w:val="00653165"/>
    <w:rsid w:val="00653661"/>
    <w:rsid w:val="00653987"/>
    <w:rsid w:val="00653C1D"/>
    <w:rsid w:val="00654365"/>
    <w:rsid w:val="00654465"/>
    <w:rsid w:val="00654CE9"/>
    <w:rsid w:val="00654F94"/>
    <w:rsid w:val="00655647"/>
    <w:rsid w:val="00655736"/>
    <w:rsid w:val="00655A17"/>
    <w:rsid w:val="00655EA7"/>
    <w:rsid w:val="00655F58"/>
    <w:rsid w:val="006561A1"/>
    <w:rsid w:val="00656297"/>
    <w:rsid w:val="00656510"/>
    <w:rsid w:val="0065692F"/>
    <w:rsid w:val="00656DC8"/>
    <w:rsid w:val="00656DEF"/>
    <w:rsid w:val="0065755A"/>
    <w:rsid w:val="006578EF"/>
    <w:rsid w:val="00657978"/>
    <w:rsid w:val="0066071E"/>
    <w:rsid w:val="006612E1"/>
    <w:rsid w:val="00661306"/>
    <w:rsid w:val="0066162C"/>
    <w:rsid w:val="00662214"/>
    <w:rsid w:val="00662334"/>
    <w:rsid w:val="00662578"/>
    <w:rsid w:val="00662E55"/>
    <w:rsid w:val="006636DB"/>
    <w:rsid w:val="00663BAB"/>
    <w:rsid w:val="00663E3B"/>
    <w:rsid w:val="00664246"/>
    <w:rsid w:val="006646AB"/>
    <w:rsid w:val="006648F4"/>
    <w:rsid w:val="00664BF7"/>
    <w:rsid w:val="0066502B"/>
    <w:rsid w:val="00665824"/>
    <w:rsid w:val="00665912"/>
    <w:rsid w:val="00665D5F"/>
    <w:rsid w:val="00665F79"/>
    <w:rsid w:val="006665C4"/>
    <w:rsid w:val="006666C6"/>
    <w:rsid w:val="00666CCD"/>
    <w:rsid w:val="00667F78"/>
    <w:rsid w:val="00670B13"/>
    <w:rsid w:val="00670F52"/>
    <w:rsid w:val="00671245"/>
    <w:rsid w:val="0067127C"/>
    <w:rsid w:val="006717AC"/>
    <w:rsid w:val="00671A53"/>
    <w:rsid w:val="00671AEB"/>
    <w:rsid w:val="00671ED5"/>
    <w:rsid w:val="00671F5B"/>
    <w:rsid w:val="00674366"/>
    <w:rsid w:val="00674725"/>
    <w:rsid w:val="00674AEE"/>
    <w:rsid w:val="006751D4"/>
    <w:rsid w:val="006752C4"/>
    <w:rsid w:val="00675715"/>
    <w:rsid w:val="00675BE9"/>
    <w:rsid w:val="00675D00"/>
    <w:rsid w:val="00675DC1"/>
    <w:rsid w:val="00675EBB"/>
    <w:rsid w:val="00676553"/>
    <w:rsid w:val="006765FF"/>
    <w:rsid w:val="00676D47"/>
    <w:rsid w:val="00677417"/>
    <w:rsid w:val="00677BC2"/>
    <w:rsid w:val="0068026D"/>
    <w:rsid w:val="0068037B"/>
    <w:rsid w:val="00680863"/>
    <w:rsid w:val="00680B44"/>
    <w:rsid w:val="006817F0"/>
    <w:rsid w:val="00681BC4"/>
    <w:rsid w:val="00681E92"/>
    <w:rsid w:val="00682259"/>
    <w:rsid w:val="00683692"/>
    <w:rsid w:val="006842FD"/>
    <w:rsid w:val="00684546"/>
    <w:rsid w:val="0068485F"/>
    <w:rsid w:val="00684D50"/>
    <w:rsid w:val="0068532F"/>
    <w:rsid w:val="00685564"/>
    <w:rsid w:val="00685AFB"/>
    <w:rsid w:val="00685C32"/>
    <w:rsid w:val="00685CE6"/>
    <w:rsid w:val="006861A4"/>
    <w:rsid w:val="0068662C"/>
    <w:rsid w:val="00686C45"/>
    <w:rsid w:val="00686F6A"/>
    <w:rsid w:val="0068771C"/>
    <w:rsid w:val="00687F62"/>
    <w:rsid w:val="00690868"/>
    <w:rsid w:val="006910F2"/>
    <w:rsid w:val="006919B8"/>
    <w:rsid w:val="006921DF"/>
    <w:rsid w:val="0069254D"/>
    <w:rsid w:val="00692957"/>
    <w:rsid w:val="0069380F"/>
    <w:rsid w:val="0069394E"/>
    <w:rsid w:val="006939AF"/>
    <w:rsid w:val="006949FA"/>
    <w:rsid w:val="00694EE0"/>
    <w:rsid w:val="00694F9C"/>
    <w:rsid w:val="0069517E"/>
    <w:rsid w:val="0069522D"/>
    <w:rsid w:val="00695660"/>
    <w:rsid w:val="00695A7A"/>
    <w:rsid w:val="00696997"/>
    <w:rsid w:val="00696B69"/>
    <w:rsid w:val="00696ED4"/>
    <w:rsid w:val="00696FC6"/>
    <w:rsid w:val="00697A64"/>
    <w:rsid w:val="00697EF1"/>
    <w:rsid w:val="006A02F7"/>
    <w:rsid w:val="006A0475"/>
    <w:rsid w:val="006A09B7"/>
    <w:rsid w:val="006A09D2"/>
    <w:rsid w:val="006A0CAA"/>
    <w:rsid w:val="006A0E1C"/>
    <w:rsid w:val="006A0E79"/>
    <w:rsid w:val="006A0F75"/>
    <w:rsid w:val="006A140F"/>
    <w:rsid w:val="006A14C5"/>
    <w:rsid w:val="006A2109"/>
    <w:rsid w:val="006A2203"/>
    <w:rsid w:val="006A2C29"/>
    <w:rsid w:val="006A3206"/>
    <w:rsid w:val="006A3F00"/>
    <w:rsid w:val="006A3FC2"/>
    <w:rsid w:val="006A4014"/>
    <w:rsid w:val="006A4462"/>
    <w:rsid w:val="006A46CF"/>
    <w:rsid w:val="006A4954"/>
    <w:rsid w:val="006A4B55"/>
    <w:rsid w:val="006A4CFD"/>
    <w:rsid w:val="006A4F19"/>
    <w:rsid w:val="006A5274"/>
    <w:rsid w:val="006A5326"/>
    <w:rsid w:val="006A57C6"/>
    <w:rsid w:val="006A5E34"/>
    <w:rsid w:val="006A5E81"/>
    <w:rsid w:val="006A64AF"/>
    <w:rsid w:val="006A6548"/>
    <w:rsid w:val="006A6CE2"/>
    <w:rsid w:val="006A7E59"/>
    <w:rsid w:val="006B0033"/>
    <w:rsid w:val="006B0B0E"/>
    <w:rsid w:val="006B174C"/>
    <w:rsid w:val="006B20D4"/>
    <w:rsid w:val="006B277D"/>
    <w:rsid w:val="006B2DAF"/>
    <w:rsid w:val="006B3473"/>
    <w:rsid w:val="006B3DEB"/>
    <w:rsid w:val="006B3E27"/>
    <w:rsid w:val="006B410E"/>
    <w:rsid w:val="006B49F3"/>
    <w:rsid w:val="006B4AF5"/>
    <w:rsid w:val="006B4B9A"/>
    <w:rsid w:val="006B57B7"/>
    <w:rsid w:val="006B6402"/>
    <w:rsid w:val="006B78BE"/>
    <w:rsid w:val="006C001D"/>
    <w:rsid w:val="006C015A"/>
    <w:rsid w:val="006C1275"/>
    <w:rsid w:val="006C1728"/>
    <w:rsid w:val="006C1B1A"/>
    <w:rsid w:val="006C2188"/>
    <w:rsid w:val="006C221B"/>
    <w:rsid w:val="006C22A3"/>
    <w:rsid w:val="006C25AC"/>
    <w:rsid w:val="006C2DEF"/>
    <w:rsid w:val="006C371A"/>
    <w:rsid w:val="006C3AF4"/>
    <w:rsid w:val="006C3CDE"/>
    <w:rsid w:val="006C3E02"/>
    <w:rsid w:val="006C3E74"/>
    <w:rsid w:val="006C3FC6"/>
    <w:rsid w:val="006C403C"/>
    <w:rsid w:val="006C4D9D"/>
    <w:rsid w:val="006C4EF1"/>
    <w:rsid w:val="006C53FA"/>
    <w:rsid w:val="006C5BD1"/>
    <w:rsid w:val="006C5C89"/>
    <w:rsid w:val="006C6346"/>
    <w:rsid w:val="006C6B4C"/>
    <w:rsid w:val="006C70C0"/>
    <w:rsid w:val="006C7527"/>
    <w:rsid w:val="006C7709"/>
    <w:rsid w:val="006C7D13"/>
    <w:rsid w:val="006D020C"/>
    <w:rsid w:val="006D0467"/>
    <w:rsid w:val="006D1B2E"/>
    <w:rsid w:val="006D1D51"/>
    <w:rsid w:val="006D1F4D"/>
    <w:rsid w:val="006D23DC"/>
    <w:rsid w:val="006D2676"/>
    <w:rsid w:val="006D300E"/>
    <w:rsid w:val="006D30A7"/>
    <w:rsid w:val="006D35DA"/>
    <w:rsid w:val="006D368C"/>
    <w:rsid w:val="006D40F7"/>
    <w:rsid w:val="006D429D"/>
    <w:rsid w:val="006D5957"/>
    <w:rsid w:val="006D5FAD"/>
    <w:rsid w:val="006D662E"/>
    <w:rsid w:val="006D7177"/>
    <w:rsid w:val="006D7731"/>
    <w:rsid w:val="006D7927"/>
    <w:rsid w:val="006D7D21"/>
    <w:rsid w:val="006E033E"/>
    <w:rsid w:val="006E05A8"/>
    <w:rsid w:val="006E0EE9"/>
    <w:rsid w:val="006E1B2C"/>
    <w:rsid w:val="006E25BE"/>
    <w:rsid w:val="006E275B"/>
    <w:rsid w:val="006E2AD6"/>
    <w:rsid w:val="006E2E95"/>
    <w:rsid w:val="006E304C"/>
    <w:rsid w:val="006E34A5"/>
    <w:rsid w:val="006E42B6"/>
    <w:rsid w:val="006E4709"/>
    <w:rsid w:val="006E5F80"/>
    <w:rsid w:val="006E6EA0"/>
    <w:rsid w:val="006E72FA"/>
    <w:rsid w:val="006E7E8E"/>
    <w:rsid w:val="006F0AEE"/>
    <w:rsid w:val="006F0FB4"/>
    <w:rsid w:val="006F10A3"/>
    <w:rsid w:val="006F1ABC"/>
    <w:rsid w:val="006F2648"/>
    <w:rsid w:val="006F29EB"/>
    <w:rsid w:val="006F2DBC"/>
    <w:rsid w:val="006F3202"/>
    <w:rsid w:val="006F32C8"/>
    <w:rsid w:val="006F3942"/>
    <w:rsid w:val="006F39D4"/>
    <w:rsid w:val="006F3F99"/>
    <w:rsid w:val="006F402A"/>
    <w:rsid w:val="006F4213"/>
    <w:rsid w:val="006F4235"/>
    <w:rsid w:val="006F43D7"/>
    <w:rsid w:val="006F441E"/>
    <w:rsid w:val="006F444F"/>
    <w:rsid w:val="006F4954"/>
    <w:rsid w:val="006F5872"/>
    <w:rsid w:val="006F5AE7"/>
    <w:rsid w:val="006F5F5B"/>
    <w:rsid w:val="006F61B1"/>
    <w:rsid w:val="006F6640"/>
    <w:rsid w:val="006F66CC"/>
    <w:rsid w:val="0070149E"/>
    <w:rsid w:val="00701994"/>
    <w:rsid w:val="00701BB0"/>
    <w:rsid w:val="0070236F"/>
    <w:rsid w:val="00702C4F"/>
    <w:rsid w:val="0070343A"/>
    <w:rsid w:val="00703BE8"/>
    <w:rsid w:val="00704AC6"/>
    <w:rsid w:val="00704B14"/>
    <w:rsid w:val="007050B4"/>
    <w:rsid w:val="00706223"/>
    <w:rsid w:val="007064F4"/>
    <w:rsid w:val="00706562"/>
    <w:rsid w:val="00707289"/>
    <w:rsid w:val="007079AA"/>
    <w:rsid w:val="00707A4D"/>
    <w:rsid w:val="007107D1"/>
    <w:rsid w:val="00711F30"/>
    <w:rsid w:val="007121FE"/>
    <w:rsid w:val="0071237F"/>
    <w:rsid w:val="00712403"/>
    <w:rsid w:val="007128A6"/>
    <w:rsid w:val="00712D1B"/>
    <w:rsid w:val="007131F5"/>
    <w:rsid w:val="00713400"/>
    <w:rsid w:val="00713837"/>
    <w:rsid w:val="00713F87"/>
    <w:rsid w:val="0071484E"/>
    <w:rsid w:val="007152B8"/>
    <w:rsid w:val="00715A11"/>
    <w:rsid w:val="00715BB6"/>
    <w:rsid w:val="00715CF0"/>
    <w:rsid w:val="007161FB"/>
    <w:rsid w:val="007163FC"/>
    <w:rsid w:val="007167FF"/>
    <w:rsid w:val="00716B45"/>
    <w:rsid w:val="00716E61"/>
    <w:rsid w:val="007178D5"/>
    <w:rsid w:val="00717E0B"/>
    <w:rsid w:val="00717F1A"/>
    <w:rsid w:val="007209CD"/>
    <w:rsid w:val="00720A63"/>
    <w:rsid w:val="00720CA6"/>
    <w:rsid w:val="00721B21"/>
    <w:rsid w:val="00721B9C"/>
    <w:rsid w:val="00722A25"/>
    <w:rsid w:val="00723226"/>
    <w:rsid w:val="00723328"/>
    <w:rsid w:val="007233AC"/>
    <w:rsid w:val="00724732"/>
    <w:rsid w:val="0072490D"/>
    <w:rsid w:val="00724958"/>
    <w:rsid w:val="00725153"/>
    <w:rsid w:val="0072612F"/>
    <w:rsid w:val="0072703F"/>
    <w:rsid w:val="0072709D"/>
    <w:rsid w:val="00727D1E"/>
    <w:rsid w:val="007307B0"/>
    <w:rsid w:val="007313CE"/>
    <w:rsid w:val="00732AC7"/>
    <w:rsid w:val="00732FA7"/>
    <w:rsid w:val="0073304A"/>
    <w:rsid w:val="00733823"/>
    <w:rsid w:val="00733A06"/>
    <w:rsid w:val="00733AF3"/>
    <w:rsid w:val="00733F40"/>
    <w:rsid w:val="0073410D"/>
    <w:rsid w:val="007343B8"/>
    <w:rsid w:val="007349D6"/>
    <w:rsid w:val="00734EE8"/>
    <w:rsid w:val="00735649"/>
    <w:rsid w:val="007359B6"/>
    <w:rsid w:val="00735B6D"/>
    <w:rsid w:val="0073616A"/>
    <w:rsid w:val="007364A1"/>
    <w:rsid w:val="007366AF"/>
    <w:rsid w:val="00737D45"/>
    <w:rsid w:val="0074079A"/>
    <w:rsid w:val="00740F48"/>
    <w:rsid w:val="00740F93"/>
    <w:rsid w:val="007410E8"/>
    <w:rsid w:val="00741192"/>
    <w:rsid w:val="00741A12"/>
    <w:rsid w:val="00741B98"/>
    <w:rsid w:val="00742034"/>
    <w:rsid w:val="00742170"/>
    <w:rsid w:val="007421FD"/>
    <w:rsid w:val="00742E24"/>
    <w:rsid w:val="00743144"/>
    <w:rsid w:val="00743FB3"/>
    <w:rsid w:val="007441AF"/>
    <w:rsid w:val="00744577"/>
    <w:rsid w:val="007452F6"/>
    <w:rsid w:val="00745D27"/>
    <w:rsid w:val="007461E5"/>
    <w:rsid w:val="00746EAD"/>
    <w:rsid w:val="00746F01"/>
    <w:rsid w:val="0074747B"/>
    <w:rsid w:val="007502CD"/>
    <w:rsid w:val="0075063F"/>
    <w:rsid w:val="00750AFC"/>
    <w:rsid w:val="00750C79"/>
    <w:rsid w:val="007510BD"/>
    <w:rsid w:val="007512A7"/>
    <w:rsid w:val="007515CC"/>
    <w:rsid w:val="00751A4D"/>
    <w:rsid w:val="0075233F"/>
    <w:rsid w:val="007524EC"/>
    <w:rsid w:val="00753283"/>
    <w:rsid w:val="00753E58"/>
    <w:rsid w:val="00754A60"/>
    <w:rsid w:val="00754B11"/>
    <w:rsid w:val="007551C9"/>
    <w:rsid w:val="00755463"/>
    <w:rsid w:val="007554A9"/>
    <w:rsid w:val="007559FE"/>
    <w:rsid w:val="00755A63"/>
    <w:rsid w:val="00755F32"/>
    <w:rsid w:val="00756088"/>
    <w:rsid w:val="00756CEC"/>
    <w:rsid w:val="00756D63"/>
    <w:rsid w:val="00757160"/>
    <w:rsid w:val="00757ABB"/>
    <w:rsid w:val="00757B39"/>
    <w:rsid w:val="00757BA7"/>
    <w:rsid w:val="0076018E"/>
    <w:rsid w:val="00760413"/>
    <w:rsid w:val="00760628"/>
    <w:rsid w:val="00761877"/>
    <w:rsid w:val="00761FB0"/>
    <w:rsid w:val="00762CE1"/>
    <w:rsid w:val="00763213"/>
    <w:rsid w:val="00763D87"/>
    <w:rsid w:val="007640CE"/>
    <w:rsid w:val="007642BA"/>
    <w:rsid w:val="0076439A"/>
    <w:rsid w:val="007645A8"/>
    <w:rsid w:val="007645CD"/>
    <w:rsid w:val="00764C26"/>
    <w:rsid w:val="0076520B"/>
    <w:rsid w:val="0076529F"/>
    <w:rsid w:val="00765842"/>
    <w:rsid w:val="00765A97"/>
    <w:rsid w:val="00765B2A"/>
    <w:rsid w:val="00765D25"/>
    <w:rsid w:val="00765FCB"/>
    <w:rsid w:val="007660BB"/>
    <w:rsid w:val="007668CC"/>
    <w:rsid w:val="00766E09"/>
    <w:rsid w:val="00766E0B"/>
    <w:rsid w:val="00766FB4"/>
    <w:rsid w:val="00767E21"/>
    <w:rsid w:val="00770A0A"/>
    <w:rsid w:val="0077172B"/>
    <w:rsid w:val="00771747"/>
    <w:rsid w:val="007719A2"/>
    <w:rsid w:val="00771CDC"/>
    <w:rsid w:val="00771D50"/>
    <w:rsid w:val="00771D9A"/>
    <w:rsid w:val="00772320"/>
    <w:rsid w:val="00772AF1"/>
    <w:rsid w:val="00773208"/>
    <w:rsid w:val="007734CD"/>
    <w:rsid w:val="00773651"/>
    <w:rsid w:val="007743CA"/>
    <w:rsid w:val="0077441B"/>
    <w:rsid w:val="0077468C"/>
    <w:rsid w:val="00774A00"/>
    <w:rsid w:val="00775357"/>
    <w:rsid w:val="00775CF3"/>
    <w:rsid w:val="00775E00"/>
    <w:rsid w:val="0077678B"/>
    <w:rsid w:val="00776826"/>
    <w:rsid w:val="00777222"/>
    <w:rsid w:val="00777489"/>
    <w:rsid w:val="007778F1"/>
    <w:rsid w:val="00777A2F"/>
    <w:rsid w:val="00780B19"/>
    <w:rsid w:val="0078121F"/>
    <w:rsid w:val="0078123E"/>
    <w:rsid w:val="00781583"/>
    <w:rsid w:val="00781B69"/>
    <w:rsid w:val="00782789"/>
    <w:rsid w:val="00783669"/>
    <w:rsid w:val="00783699"/>
    <w:rsid w:val="007839DC"/>
    <w:rsid w:val="00784074"/>
    <w:rsid w:val="007843C9"/>
    <w:rsid w:val="007845B2"/>
    <w:rsid w:val="0078546B"/>
    <w:rsid w:val="0078560F"/>
    <w:rsid w:val="00785855"/>
    <w:rsid w:val="00785871"/>
    <w:rsid w:val="00785E30"/>
    <w:rsid w:val="00786413"/>
    <w:rsid w:val="00786445"/>
    <w:rsid w:val="007864B8"/>
    <w:rsid w:val="007867EF"/>
    <w:rsid w:val="0078694B"/>
    <w:rsid w:val="0078698E"/>
    <w:rsid w:val="007869CE"/>
    <w:rsid w:val="00787509"/>
    <w:rsid w:val="007902B6"/>
    <w:rsid w:val="007903F0"/>
    <w:rsid w:val="00790474"/>
    <w:rsid w:val="007904E1"/>
    <w:rsid w:val="0079135B"/>
    <w:rsid w:val="00791AE6"/>
    <w:rsid w:val="00791E17"/>
    <w:rsid w:val="00791EED"/>
    <w:rsid w:val="00792477"/>
    <w:rsid w:val="00792655"/>
    <w:rsid w:val="00792D42"/>
    <w:rsid w:val="007934EA"/>
    <w:rsid w:val="00793F5C"/>
    <w:rsid w:val="0079431B"/>
    <w:rsid w:val="00794A4D"/>
    <w:rsid w:val="00794E80"/>
    <w:rsid w:val="00796E02"/>
    <w:rsid w:val="00796EEC"/>
    <w:rsid w:val="007977F1"/>
    <w:rsid w:val="007A11E5"/>
    <w:rsid w:val="007A1265"/>
    <w:rsid w:val="007A1C7A"/>
    <w:rsid w:val="007A248F"/>
    <w:rsid w:val="007A2BE2"/>
    <w:rsid w:val="007A2D22"/>
    <w:rsid w:val="007A2FE3"/>
    <w:rsid w:val="007A3B87"/>
    <w:rsid w:val="007A3B9F"/>
    <w:rsid w:val="007A3EDC"/>
    <w:rsid w:val="007A4110"/>
    <w:rsid w:val="007A41AD"/>
    <w:rsid w:val="007A5509"/>
    <w:rsid w:val="007A5929"/>
    <w:rsid w:val="007A60C9"/>
    <w:rsid w:val="007A777F"/>
    <w:rsid w:val="007A7B9E"/>
    <w:rsid w:val="007B084D"/>
    <w:rsid w:val="007B09A4"/>
    <w:rsid w:val="007B0BA2"/>
    <w:rsid w:val="007B0D4D"/>
    <w:rsid w:val="007B0E72"/>
    <w:rsid w:val="007B149E"/>
    <w:rsid w:val="007B24BB"/>
    <w:rsid w:val="007B2ABB"/>
    <w:rsid w:val="007B37BA"/>
    <w:rsid w:val="007B37F0"/>
    <w:rsid w:val="007B48FD"/>
    <w:rsid w:val="007B4A44"/>
    <w:rsid w:val="007B4B37"/>
    <w:rsid w:val="007B56D6"/>
    <w:rsid w:val="007B57FE"/>
    <w:rsid w:val="007B5A35"/>
    <w:rsid w:val="007B5F85"/>
    <w:rsid w:val="007B7554"/>
    <w:rsid w:val="007B7A6A"/>
    <w:rsid w:val="007B7EB3"/>
    <w:rsid w:val="007C1155"/>
    <w:rsid w:val="007C121E"/>
    <w:rsid w:val="007C1943"/>
    <w:rsid w:val="007C1C5F"/>
    <w:rsid w:val="007C1D83"/>
    <w:rsid w:val="007C1E7D"/>
    <w:rsid w:val="007C232A"/>
    <w:rsid w:val="007C2FD0"/>
    <w:rsid w:val="007C31B9"/>
    <w:rsid w:val="007C3BC8"/>
    <w:rsid w:val="007C3D33"/>
    <w:rsid w:val="007C4078"/>
    <w:rsid w:val="007C420F"/>
    <w:rsid w:val="007C4796"/>
    <w:rsid w:val="007C578E"/>
    <w:rsid w:val="007C6069"/>
    <w:rsid w:val="007C70C4"/>
    <w:rsid w:val="007C71D1"/>
    <w:rsid w:val="007C7FF4"/>
    <w:rsid w:val="007D049F"/>
    <w:rsid w:val="007D05B2"/>
    <w:rsid w:val="007D09EF"/>
    <w:rsid w:val="007D1419"/>
    <w:rsid w:val="007D1D99"/>
    <w:rsid w:val="007D1FF8"/>
    <w:rsid w:val="007D235E"/>
    <w:rsid w:val="007D2D9B"/>
    <w:rsid w:val="007D2D9F"/>
    <w:rsid w:val="007D3DF8"/>
    <w:rsid w:val="007D4443"/>
    <w:rsid w:val="007D5713"/>
    <w:rsid w:val="007D58FE"/>
    <w:rsid w:val="007D5E5C"/>
    <w:rsid w:val="007D5E91"/>
    <w:rsid w:val="007D6395"/>
    <w:rsid w:val="007D6F3D"/>
    <w:rsid w:val="007D6FA8"/>
    <w:rsid w:val="007D7516"/>
    <w:rsid w:val="007D7ED3"/>
    <w:rsid w:val="007E0145"/>
    <w:rsid w:val="007E0610"/>
    <w:rsid w:val="007E0833"/>
    <w:rsid w:val="007E1864"/>
    <w:rsid w:val="007E26F3"/>
    <w:rsid w:val="007E31CF"/>
    <w:rsid w:val="007E4306"/>
    <w:rsid w:val="007E45F6"/>
    <w:rsid w:val="007E4F73"/>
    <w:rsid w:val="007E5177"/>
    <w:rsid w:val="007E5635"/>
    <w:rsid w:val="007E5E68"/>
    <w:rsid w:val="007E6081"/>
    <w:rsid w:val="007E6094"/>
    <w:rsid w:val="007E654E"/>
    <w:rsid w:val="007E670B"/>
    <w:rsid w:val="007E69C9"/>
    <w:rsid w:val="007E74F8"/>
    <w:rsid w:val="007E7665"/>
    <w:rsid w:val="007F045A"/>
    <w:rsid w:val="007F0501"/>
    <w:rsid w:val="007F066E"/>
    <w:rsid w:val="007F10F3"/>
    <w:rsid w:val="007F1449"/>
    <w:rsid w:val="007F210E"/>
    <w:rsid w:val="007F2208"/>
    <w:rsid w:val="007F2FF6"/>
    <w:rsid w:val="007F3075"/>
    <w:rsid w:val="007F3C6A"/>
    <w:rsid w:val="007F4B91"/>
    <w:rsid w:val="007F6337"/>
    <w:rsid w:val="007F6DB3"/>
    <w:rsid w:val="007F6FFB"/>
    <w:rsid w:val="007F72AB"/>
    <w:rsid w:val="0080066C"/>
    <w:rsid w:val="00801E45"/>
    <w:rsid w:val="00802068"/>
    <w:rsid w:val="008021D4"/>
    <w:rsid w:val="008022AF"/>
    <w:rsid w:val="00802989"/>
    <w:rsid w:val="00802D0A"/>
    <w:rsid w:val="008034DE"/>
    <w:rsid w:val="008039A0"/>
    <w:rsid w:val="00804425"/>
    <w:rsid w:val="008045D4"/>
    <w:rsid w:val="0080474C"/>
    <w:rsid w:val="00804F4D"/>
    <w:rsid w:val="0080501F"/>
    <w:rsid w:val="00805680"/>
    <w:rsid w:val="00805C01"/>
    <w:rsid w:val="0080662E"/>
    <w:rsid w:val="0080674A"/>
    <w:rsid w:val="0080674C"/>
    <w:rsid w:val="00806B49"/>
    <w:rsid w:val="0080747E"/>
    <w:rsid w:val="0080765B"/>
    <w:rsid w:val="00807671"/>
    <w:rsid w:val="00807F07"/>
    <w:rsid w:val="0081025C"/>
    <w:rsid w:val="0081205E"/>
    <w:rsid w:val="0081216C"/>
    <w:rsid w:val="00812682"/>
    <w:rsid w:val="00812938"/>
    <w:rsid w:val="00812FBF"/>
    <w:rsid w:val="00813505"/>
    <w:rsid w:val="008136AF"/>
    <w:rsid w:val="008155C4"/>
    <w:rsid w:val="00815DCE"/>
    <w:rsid w:val="00815F96"/>
    <w:rsid w:val="00816370"/>
    <w:rsid w:val="008163F4"/>
    <w:rsid w:val="008166A4"/>
    <w:rsid w:val="00816A9E"/>
    <w:rsid w:val="00816C15"/>
    <w:rsid w:val="00817269"/>
    <w:rsid w:val="00817847"/>
    <w:rsid w:val="00820E8D"/>
    <w:rsid w:val="00820F1B"/>
    <w:rsid w:val="00821271"/>
    <w:rsid w:val="00821431"/>
    <w:rsid w:val="00821C4A"/>
    <w:rsid w:val="00821D41"/>
    <w:rsid w:val="00821FA3"/>
    <w:rsid w:val="00822121"/>
    <w:rsid w:val="00823262"/>
    <w:rsid w:val="008246A2"/>
    <w:rsid w:val="00824C4E"/>
    <w:rsid w:val="00824D22"/>
    <w:rsid w:val="00824DF0"/>
    <w:rsid w:val="0082522F"/>
    <w:rsid w:val="008258F5"/>
    <w:rsid w:val="00825B30"/>
    <w:rsid w:val="00825CF1"/>
    <w:rsid w:val="00826D89"/>
    <w:rsid w:val="00827A7A"/>
    <w:rsid w:val="0083008B"/>
    <w:rsid w:val="00830099"/>
    <w:rsid w:val="00830AB1"/>
    <w:rsid w:val="00830B2D"/>
    <w:rsid w:val="0083156D"/>
    <w:rsid w:val="00831BF0"/>
    <w:rsid w:val="00833466"/>
    <w:rsid w:val="00833916"/>
    <w:rsid w:val="00833A39"/>
    <w:rsid w:val="00833F0E"/>
    <w:rsid w:val="00833F1B"/>
    <w:rsid w:val="00834260"/>
    <w:rsid w:val="008346F2"/>
    <w:rsid w:val="00834C1B"/>
    <w:rsid w:val="00834C26"/>
    <w:rsid w:val="00834CC1"/>
    <w:rsid w:val="008353A0"/>
    <w:rsid w:val="00835789"/>
    <w:rsid w:val="008365B8"/>
    <w:rsid w:val="0083760A"/>
    <w:rsid w:val="00837C40"/>
    <w:rsid w:val="00837F83"/>
    <w:rsid w:val="00841589"/>
    <w:rsid w:val="00841CBF"/>
    <w:rsid w:val="00841D8C"/>
    <w:rsid w:val="008423CE"/>
    <w:rsid w:val="0084249B"/>
    <w:rsid w:val="008436E7"/>
    <w:rsid w:val="0084386E"/>
    <w:rsid w:val="00843C23"/>
    <w:rsid w:val="00843F53"/>
    <w:rsid w:val="00844FDE"/>
    <w:rsid w:val="00845330"/>
    <w:rsid w:val="008454E8"/>
    <w:rsid w:val="00845C0F"/>
    <w:rsid w:val="00845DB4"/>
    <w:rsid w:val="008462B8"/>
    <w:rsid w:val="0084645E"/>
    <w:rsid w:val="008477BB"/>
    <w:rsid w:val="00847BFD"/>
    <w:rsid w:val="008514DF"/>
    <w:rsid w:val="00851FE4"/>
    <w:rsid w:val="00852BBF"/>
    <w:rsid w:val="00852F5E"/>
    <w:rsid w:val="008539D0"/>
    <w:rsid w:val="0085439A"/>
    <w:rsid w:val="00854776"/>
    <w:rsid w:val="00855008"/>
    <w:rsid w:val="0085509E"/>
    <w:rsid w:val="0085759C"/>
    <w:rsid w:val="0086077A"/>
    <w:rsid w:val="008610EA"/>
    <w:rsid w:val="00861107"/>
    <w:rsid w:val="0086168E"/>
    <w:rsid w:val="00861E7E"/>
    <w:rsid w:val="008622EF"/>
    <w:rsid w:val="008635A4"/>
    <w:rsid w:val="0086360E"/>
    <w:rsid w:val="008637DB"/>
    <w:rsid w:val="00863804"/>
    <w:rsid w:val="00863E3F"/>
    <w:rsid w:val="0086443B"/>
    <w:rsid w:val="0086459F"/>
    <w:rsid w:val="0086469A"/>
    <w:rsid w:val="008648AE"/>
    <w:rsid w:val="00864A78"/>
    <w:rsid w:val="00864ECB"/>
    <w:rsid w:val="008656DE"/>
    <w:rsid w:val="00866AA6"/>
    <w:rsid w:val="00866CCE"/>
    <w:rsid w:val="0086707D"/>
    <w:rsid w:val="00870044"/>
    <w:rsid w:val="008708CC"/>
    <w:rsid w:val="00870C3C"/>
    <w:rsid w:val="00870C57"/>
    <w:rsid w:val="00870D0E"/>
    <w:rsid w:val="00871089"/>
    <w:rsid w:val="00871500"/>
    <w:rsid w:val="00871A4F"/>
    <w:rsid w:val="00871A66"/>
    <w:rsid w:val="00871E47"/>
    <w:rsid w:val="00872585"/>
    <w:rsid w:val="00872BB5"/>
    <w:rsid w:val="00872E7B"/>
    <w:rsid w:val="00872FC0"/>
    <w:rsid w:val="00873CA7"/>
    <w:rsid w:val="00875084"/>
    <w:rsid w:val="008756D7"/>
    <w:rsid w:val="0087598F"/>
    <w:rsid w:val="00875A4F"/>
    <w:rsid w:val="00877102"/>
    <w:rsid w:val="00877333"/>
    <w:rsid w:val="008775F9"/>
    <w:rsid w:val="00877B0D"/>
    <w:rsid w:val="00877B47"/>
    <w:rsid w:val="0088011C"/>
    <w:rsid w:val="008804FA"/>
    <w:rsid w:val="008808FB"/>
    <w:rsid w:val="00880E3E"/>
    <w:rsid w:val="00880EAE"/>
    <w:rsid w:val="00880F51"/>
    <w:rsid w:val="00881A31"/>
    <w:rsid w:val="00881B32"/>
    <w:rsid w:val="008820AA"/>
    <w:rsid w:val="0088280C"/>
    <w:rsid w:val="008851DA"/>
    <w:rsid w:val="00885763"/>
    <w:rsid w:val="00885784"/>
    <w:rsid w:val="0088594B"/>
    <w:rsid w:val="00886376"/>
    <w:rsid w:val="0088683A"/>
    <w:rsid w:val="00886B7F"/>
    <w:rsid w:val="00886E96"/>
    <w:rsid w:val="00887684"/>
    <w:rsid w:val="00887797"/>
    <w:rsid w:val="0088781D"/>
    <w:rsid w:val="00887B02"/>
    <w:rsid w:val="00890049"/>
    <w:rsid w:val="00890685"/>
    <w:rsid w:val="00890F76"/>
    <w:rsid w:val="00891524"/>
    <w:rsid w:val="00891555"/>
    <w:rsid w:val="0089248B"/>
    <w:rsid w:val="00892497"/>
    <w:rsid w:val="00893CC1"/>
    <w:rsid w:val="00893E86"/>
    <w:rsid w:val="00895248"/>
    <w:rsid w:val="00895487"/>
    <w:rsid w:val="00895AB4"/>
    <w:rsid w:val="00896F08"/>
    <w:rsid w:val="00897471"/>
    <w:rsid w:val="00897A13"/>
    <w:rsid w:val="008A0BFB"/>
    <w:rsid w:val="008A0DC1"/>
    <w:rsid w:val="008A17C9"/>
    <w:rsid w:val="008A1E19"/>
    <w:rsid w:val="008A22F2"/>
    <w:rsid w:val="008A2EFC"/>
    <w:rsid w:val="008A3187"/>
    <w:rsid w:val="008A31CA"/>
    <w:rsid w:val="008A379A"/>
    <w:rsid w:val="008A3974"/>
    <w:rsid w:val="008A3D61"/>
    <w:rsid w:val="008A4301"/>
    <w:rsid w:val="008A4E45"/>
    <w:rsid w:val="008A5A4B"/>
    <w:rsid w:val="008A5FF4"/>
    <w:rsid w:val="008A63B6"/>
    <w:rsid w:val="008A6B7B"/>
    <w:rsid w:val="008A73FC"/>
    <w:rsid w:val="008A7839"/>
    <w:rsid w:val="008A7EBE"/>
    <w:rsid w:val="008B0080"/>
    <w:rsid w:val="008B00A5"/>
    <w:rsid w:val="008B0D88"/>
    <w:rsid w:val="008B180F"/>
    <w:rsid w:val="008B23A3"/>
    <w:rsid w:val="008B2BF1"/>
    <w:rsid w:val="008B39A3"/>
    <w:rsid w:val="008B48D1"/>
    <w:rsid w:val="008B4A32"/>
    <w:rsid w:val="008B503C"/>
    <w:rsid w:val="008B5130"/>
    <w:rsid w:val="008B633E"/>
    <w:rsid w:val="008B6D52"/>
    <w:rsid w:val="008B73D3"/>
    <w:rsid w:val="008B79A0"/>
    <w:rsid w:val="008C040C"/>
    <w:rsid w:val="008C045D"/>
    <w:rsid w:val="008C0D12"/>
    <w:rsid w:val="008C0E4A"/>
    <w:rsid w:val="008C12D0"/>
    <w:rsid w:val="008C1831"/>
    <w:rsid w:val="008C199B"/>
    <w:rsid w:val="008C219E"/>
    <w:rsid w:val="008C24D8"/>
    <w:rsid w:val="008C2CC2"/>
    <w:rsid w:val="008C2DA7"/>
    <w:rsid w:val="008C2F94"/>
    <w:rsid w:val="008C3145"/>
    <w:rsid w:val="008C3927"/>
    <w:rsid w:val="008C3A25"/>
    <w:rsid w:val="008C3D05"/>
    <w:rsid w:val="008C429D"/>
    <w:rsid w:val="008C42FB"/>
    <w:rsid w:val="008C58C5"/>
    <w:rsid w:val="008C5971"/>
    <w:rsid w:val="008C5E17"/>
    <w:rsid w:val="008C5F99"/>
    <w:rsid w:val="008C5FDF"/>
    <w:rsid w:val="008C61EE"/>
    <w:rsid w:val="008C717E"/>
    <w:rsid w:val="008C71D2"/>
    <w:rsid w:val="008C7AB3"/>
    <w:rsid w:val="008D0590"/>
    <w:rsid w:val="008D087D"/>
    <w:rsid w:val="008D1876"/>
    <w:rsid w:val="008D1A4A"/>
    <w:rsid w:val="008D230F"/>
    <w:rsid w:val="008D2467"/>
    <w:rsid w:val="008D24F3"/>
    <w:rsid w:val="008D3451"/>
    <w:rsid w:val="008D3B0D"/>
    <w:rsid w:val="008D4396"/>
    <w:rsid w:val="008D45B8"/>
    <w:rsid w:val="008D49E7"/>
    <w:rsid w:val="008D4DEC"/>
    <w:rsid w:val="008D5B8A"/>
    <w:rsid w:val="008D6422"/>
    <w:rsid w:val="008D69B6"/>
    <w:rsid w:val="008D6ADF"/>
    <w:rsid w:val="008D73F1"/>
    <w:rsid w:val="008D748F"/>
    <w:rsid w:val="008D76CE"/>
    <w:rsid w:val="008E0105"/>
    <w:rsid w:val="008E0ED9"/>
    <w:rsid w:val="008E1580"/>
    <w:rsid w:val="008E1713"/>
    <w:rsid w:val="008E1C4B"/>
    <w:rsid w:val="008E1E26"/>
    <w:rsid w:val="008E213B"/>
    <w:rsid w:val="008E2B1D"/>
    <w:rsid w:val="008E2BFA"/>
    <w:rsid w:val="008E331C"/>
    <w:rsid w:val="008E39AE"/>
    <w:rsid w:val="008E4306"/>
    <w:rsid w:val="008E4357"/>
    <w:rsid w:val="008E472D"/>
    <w:rsid w:val="008E4B0E"/>
    <w:rsid w:val="008E4CF7"/>
    <w:rsid w:val="008E5D0E"/>
    <w:rsid w:val="008E63DD"/>
    <w:rsid w:val="008E669E"/>
    <w:rsid w:val="008E68E0"/>
    <w:rsid w:val="008E72FC"/>
    <w:rsid w:val="008E7841"/>
    <w:rsid w:val="008E7A96"/>
    <w:rsid w:val="008E7D43"/>
    <w:rsid w:val="008F0AD9"/>
    <w:rsid w:val="008F1859"/>
    <w:rsid w:val="008F240B"/>
    <w:rsid w:val="008F26F1"/>
    <w:rsid w:val="008F2DE1"/>
    <w:rsid w:val="008F2E52"/>
    <w:rsid w:val="008F378C"/>
    <w:rsid w:val="008F3B46"/>
    <w:rsid w:val="008F3C1B"/>
    <w:rsid w:val="008F4A75"/>
    <w:rsid w:val="008F4F05"/>
    <w:rsid w:val="008F53BD"/>
    <w:rsid w:val="008F584F"/>
    <w:rsid w:val="008F5E1F"/>
    <w:rsid w:val="008F5E92"/>
    <w:rsid w:val="008F5F85"/>
    <w:rsid w:val="008F65A6"/>
    <w:rsid w:val="008F7862"/>
    <w:rsid w:val="00901DCE"/>
    <w:rsid w:val="0090222A"/>
    <w:rsid w:val="00902230"/>
    <w:rsid w:val="009023B4"/>
    <w:rsid w:val="00902DCB"/>
    <w:rsid w:val="00902E34"/>
    <w:rsid w:val="00903D32"/>
    <w:rsid w:val="0090417B"/>
    <w:rsid w:val="009058B7"/>
    <w:rsid w:val="00905C54"/>
    <w:rsid w:val="00905CC8"/>
    <w:rsid w:val="00906B1C"/>
    <w:rsid w:val="00906E89"/>
    <w:rsid w:val="00906FF7"/>
    <w:rsid w:val="009070E9"/>
    <w:rsid w:val="0090729E"/>
    <w:rsid w:val="009073D1"/>
    <w:rsid w:val="0090740A"/>
    <w:rsid w:val="00907BD8"/>
    <w:rsid w:val="00907DC6"/>
    <w:rsid w:val="009102DC"/>
    <w:rsid w:val="009106C2"/>
    <w:rsid w:val="0091089C"/>
    <w:rsid w:val="00910A0D"/>
    <w:rsid w:val="00910A11"/>
    <w:rsid w:val="00910F0F"/>
    <w:rsid w:val="00911F84"/>
    <w:rsid w:val="00912577"/>
    <w:rsid w:val="00912769"/>
    <w:rsid w:val="0091276E"/>
    <w:rsid w:val="00912FA4"/>
    <w:rsid w:val="00913FE0"/>
    <w:rsid w:val="00914A41"/>
    <w:rsid w:val="00914C54"/>
    <w:rsid w:val="009150A0"/>
    <w:rsid w:val="00915451"/>
    <w:rsid w:val="009159C2"/>
    <w:rsid w:val="00915D9C"/>
    <w:rsid w:val="00916097"/>
    <w:rsid w:val="0091694A"/>
    <w:rsid w:val="00916CBE"/>
    <w:rsid w:val="0091788D"/>
    <w:rsid w:val="00921540"/>
    <w:rsid w:val="00922066"/>
    <w:rsid w:val="0092260F"/>
    <w:rsid w:val="009229ED"/>
    <w:rsid w:val="00922C5F"/>
    <w:rsid w:val="00923023"/>
    <w:rsid w:val="00923467"/>
    <w:rsid w:val="00923D98"/>
    <w:rsid w:val="0092472C"/>
    <w:rsid w:val="009248CD"/>
    <w:rsid w:val="00924979"/>
    <w:rsid w:val="0092551E"/>
    <w:rsid w:val="00925C61"/>
    <w:rsid w:val="00925CDD"/>
    <w:rsid w:val="00925FB3"/>
    <w:rsid w:val="0092648A"/>
    <w:rsid w:val="00926BE4"/>
    <w:rsid w:val="009271F9"/>
    <w:rsid w:val="0092720D"/>
    <w:rsid w:val="009279C2"/>
    <w:rsid w:val="00927F04"/>
    <w:rsid w:val="00927F63"/>
    <w:rsid w:val="0093023B"/>
    <w:rsid w:val="009304F4"/>
    <w:rsid w:val="0093063C"/>
    <w:rsid w:val="00931C44"/>
    <w:rsid w:val="00932131"/>
    <w:rsid w:val="009323A0"/>
    <w:rsid w:val="0093243F"/>
    <w:rsid w:val="0093247C"/>
    <w:rsid w:val="00932CA3"/>
    <w:rsid w:val="00932D92"/>
    <w:rsid w:val="009331F8"/>
    <w:rsid w:val="00933279"/>
    <w:rsid w:val="0093362D"/>
    <w:rsid w:val="009336E2"/>
    <w:rsid w:val="009338D7"/>
    <w:rsid w:val="0093427D"/>
    <w:rsid w:val="0093427F"/>
    <w:rsid w:val="009347EE"/>
    <w:rsid w:val="0093490F"/>
    <w:rsid w:val="00935DDE"/>
    <w:rsid w:val="00935DEA"/>
    <w:rsid w:val="00935E9C"/>
    <w:rsid w:val="00936994"/>
    <w:rsid w:val="00936F59"/>
    <w:rsid w:val="009370AB"/>
    <w:rsid w:val="00940EAE"/>
    <w:rsid w:val="0094100F"/>
    <w:rsid w:val="0094139D"/>
    <w:rsid w:val="00941627"/>
    <w:rsid w:val="00941A95"/>
    <w:rsid w:val="00941AC6"/>
    <w:rsid w:val="00942F02"/>
    <w:rsid w:val="009430E6"/>
    <w:rsid w:val="009433DE"/>
    <w:rsid w:val="00944003"/>
    <w:rsid w:val="009440A5"/>
    <w:rsid w:val="00944141"/>
    <w:rsid w:val="00944A69"/>
    <w:rsid w:val="00944B33"/>
    <w:rsid w:val="009450BC"/>
    <w:rsid w:val="00945384"/>
    <w:rsid w:val="0094544C"/>
    <w:rsid w:val="00945CF8"/>
    <w:rsid w:val="009462E3"/>
    <w:rsid w:val="00946B58"/>
    <w:rsid w:val="00947775"/>
    <w:rsid w:val="0095005F"/>
    <w:rsid w:val="00950514"/>
    <w:rsid w:val="00950A10"/>
    <w:rsid w:val="00950C49"/>
    <w:rsid w:val="00950DE8"/>
    <w:rsid w:val="009523E0"/>
    <w:rsid w:val="0095283B"/>
    <w:rsid w:val="00952C19"/>
    <w:rsid w:val="00952CB8"/>
    <w:rsid w:val="0095438D"/>
    <w:rsid w:val="00954537"/>
    <w:rsid w:val="00954FC8"/>
    <w:rsid w:val="009554CA"/>
    <w:rsid w:val="00955B94"/>
    <w:rsid w:val="00955D7C"/>
    <w:rsid w:val="00955DC0"/>
    <w:rsid w:val="0095644B"/>
    <w:rsid w:val="009566B7"/>
    <w:rsid w:val="00957A8B"/>
    <w:rsid w:val="00957BC8"/>
    <w:rsid w:val="00960471"/>
    <w:rsid w:val="00960A9D"/>
    <w:rsid w:val="00960C4B"/>
    <w:rsid w:val="00960CB9"/>
    <w:rsid w:val="00960F92"/>
    <w:rsid w:val="0096124F"/>
    <w:rsid w:val="0096143E"/>
    <w:rsid w:val="009616DA"/>
    <w:rsid w:val="009620C8"/>
    <w:rsid w:val="0096223C"/>
    <w:rsid w:val="009628A8"/>
    <w:rsid w:val="00964E1D"/>
    <w:rsid w:val="00964FF4"/>
    <w:rsid w:val="0096585E"/>
    <w:rsid w:val="00965B04"/>
    <w:rsid w:val="009670E0"/>
    <w:rsid w:val="00967595"/>
    <w:rsid w:val="009675D8"/>
    <w:rsid w:val="00970A92"/>
    <w:rsid w:val="00970B6E"/>
    <w:rsid w:val="00970E66"/>
    <w:rsid w:val="00971A4E"/>
    <w:rsid w:val="00971D6B"/>
    <w:rsid w:val="00971F12"/>
    <w:rsid w:val="009720CD"/>
    <w:rsid w:val="00972E0A"/>
    <w:rsid w:val="009733B2"/>
    <w:rsid w:val="00973929"/>
    <w:rsid w:val="00973AA6"/>
    <w:rsid w:val="00973B2C"/>
    <w:rsid w:val="009745CD"/>
    <w:rsid w:val="0097498B"/>
    <w:rsid w:val="00974FD3"/>
    <w:rsid w:val="0097603E"/>
    <w:rsid w:val="00976A40"/>
    <w:rsid w:val="00977709"/>
    <w:rsid w:val="00977DC8"/>
    <w:rsid w:val="0098084E"/>
    <w:rsid w:val="0098086A"/>
    <w:rsid w:val="0098112D"/>
    <w:rsid w:val="00981215"/>
    <w:rsid w:val="0098124D"/>
    <w:rsid w:val="00981782"/>
    <w:rsid w:val="0098194C"/>
    <w:rsid w:val="00981C90"/>
    <w:rsid w:val="00981E5D"/>
    <w:rsid w:val="00982C54"/>
    <w:rsid w:val="0098313E"/>
    <w:rsid w:val="009834AA"/>
    <w:rsid w:val="00984591"/>
    <w:rsid w:val="00984BD4"/>
    <w:rsid w:val="00984FF4"/>
    <w:rsid w:val="00985922"/>
    <w:rsid w:val="00986B22"/>
    <w:rsid w:val="00986E77"/>
    <w:rsid w:val="009872EF"/>
    <w:rsid w:val="00987422"/>
    <w:rsid w:val="00987BD9"/>
    <w:rsid w:val="009908DA"/>
    <w:rsid w:val="00990A06"/>
    <w:rsid w:val="00990A0F"/>
    <w:rsid w:val="00990EE3"/>
    <w:rsid w:val="00991BBF"/>
    <w:rsid w:val="00991D2C"/>
    <w:rsid w:val="00991F79"/>
    <w:rsid w:val="00992421"/>
    <w:rsid w:val="00992EE7"/>
    <w:rsid w:val="0099369F"/>
    <w:rsid w:val="00994FFA"/>
    <w:rsid w:val="00995B30"/>
    <w:rsid w:val="00995EBB"/>
    <w:rsid w:val="00995F39"/>
    <w:rsid w:val="009967A2"/>
    <w:rsid w:val="00997697"/>
    <w:rsid w:val="0099789A"/>
    <w:rsid w:val="009A023F"/>
    <w:rsid w:val="009A0874"/>
    <w:rsid w:val="009A0DED"/>
    <w:rsid w:val="009A10C1"/>
    <w:rsid w:val="009A112E"/>
    <w:rsid w:val="009A1230"/>
    <w:rsid w:val="009A1429"/>
    <w:rsid w:val="009A16BC"/>
    <w:rsid w:val="009A1785"/>
    <w:rsid w:val="009A19D0"/>
    <w:rsid w:val="009A269E"/>
    <w:rsid w:val="009A2A09"/>
    <w:rsid w:val="009A30CB"/>
    <w:rsid w:val="009A3489"/>
    <w:rsid w:val="009A3974"/>
    <w:rsid w:val="009A4C36"/>
    <w:rsid w:val="009A4D40"/>
    <w:rsid w:val="009A4DEC"/>
    <w:rsid w:val="009A524E"/>
    <w:rsid w:val="009A5262"/>
    <w:rsid w:val="009A656D"/>
    <w:rsid w:val="009A6754"/>
    <w:rsid w:val="009A69BC"/>
    <w:rsid w:val="009A6DBE"/>
    <w:rsid w:val="009A71B3"/>
    <w:rsid w:val="009A7B15"/>
    <w:rsid w:val="009A7CBE"/>
    <w:rsid w:val="009B04FC"/>
    <w:rsid w:val="009B1018"/>
    <w:rsid w:val="009B17E9"/>
    <w:rsid w:val="009B1A0C"/>
    <w:rsid w:val="009B1AC9"/>
    <w:rsid w:val="009B1BAC"/>
    <w:rsid w:val="009B2514"/>
    <w:rsid w:val="009B2C8D"/>
    <w:rsid w:val="009B332C"/>
    <w:rsid w:val="009B3622"/>
    <w:rsid w:val="009B4733"/>
    <w:rsid w:val="009B4A18"/>
    <w:rsid w:val="009B4E8A"/>
    <w:rsid w:val="009B50B1"/>
    <w:rsid w:val="009B6998"/>
    <w:rsid w:val="009B6FF3"/>
    <w:rsid w:val="009B7311"/>
    <w:rsid w:val="009B735E"/>
    <w:rsid w:val="009B7372"/>
    <w:rsid w:val="009B7CDD"/>
    <w:rsid w:val="009B7D1E"/>
    <w:rsid w:val="009B7D9D"/>
    <w:rsid w:val="009C0AB0"/>
    <w:rsid w:val="009C11E5"/>
    <w:rsid w:val="009C1F1C"/>
    <w:rsid w:val="009C2D1C"/>
    <w:rsid w:val="009C3485"/>
    <w:rsid w:val="009C4620"/>
    <w:rsid w:val="009C4642"/>
    <w:rsid w:val="009C486A"/>
    <w:rsid w:val="009C4E00"/>
    <w:rsid w:val="009C507D"/>
    <w:rsid w:val="009C5778"/>
    <w:rsid w:val="009C61CD"/>
    <w:rsid w:val="009C630D"/>
    <w:rsid w:val="009C6BCE"/>
    <w:rsid w:val="009C6C44"/>
    <w:rsid w:val="009C6C54"/>
    <w:rsid w:val="009C70EB"/>
    <w:rsid w:val="009C7823"/>
    <w:rsid w:val="009C7B70"/>
    <w:rsid w:val="009C7CF3"/>
    <w:rsid w:val="009C7E23"/>
    <w:rsid w:val="009D043B"/>
    <w:rsid w:val="009D0908"/>
    <w:rsid w:val="009D1780"/>
    <w:rsid w:val="009D1C84"/>
    <w:rsid w:val="009D202A"/>
    <w:rsid w:val="009D20F7"/>
    <w:rsid w:val="009D2314"/>
    <w:rsid w:val="009D307B"/>
    <w:rsid w:val="009D3A1E"/>
    <w:rsid w:val="009D3D4B"/>
    <w:rsid w:val="009D3F5C"/>
    <w:rsid w:val="009D4AE7"/>
    <w:rsid w:val="009D55C9"/>
    <w:rsid w:val="009D5F4F"/>
    <w:rsid w:val="009D666A"/>
    <w:rsid w:val="009E08C5"/>
    <w:rsid w:val="009E0EEC"/>
    <w:rsid w:val="009E1579"/>
    <w:rsid w:val="009E1AA7"/>
    <w:rsid w:val="009E20F2"/>
    <w:rsid w:val="009E230E"/>
    <w:rsid w:val="009E25AE"/>
    <w:rsid w:val="009E2BA5"/>
    <w:rsid w:val="009E39C9"/>
    <w:rsid w:val="009E45BC"/>
    <w:rsid w:val="009E46EF"/>
    <w:rsid w:val="009E4ECB"/>
    <w:rsid w:val="009E56A8"/>
    <w:rsid w:val="009E6AE9"/>
    <w:rsid w:val="009E6E2C"/>
    <w:rsid w:val="009E7A57"/>
    <w:rsid w:val="009E7D4D"/>
    <w:rsid w:val="009F0245"/>
    <w:rsid w:val="009F0C4B"/>
    <w:rsid w:val="009F0D96"/>
    <w:rsid w:val="009F13C3"/>
    <w:rsid w:val="009F1623"/>
    <w:rsid w:val="009F17B0"/>
    <w:rsid w:val="009F1834"/>
    <w:rsid w:val="009F1AA3"/>
    <w:rsid w:val="009F2F44"/>
    <w:rsid w:val="009F32B6"/>
    <w:rsid w:val="009F4097"/>
    <w:rsid w:val="009F456C"/>
    <w:rsid w:val="009F4CCA"/>
    <w:rsid w:val="009F4D8D"/>
    <w:rsid w:val="009F4F8D"/>
    <w:rsid w:val="009F6031"/>
    <w:rsid w:val="009F61EA"/>
    <w:rsid w:val="009F6221"/>
    <w:rsid w:val="009F672B"/>
    <w:rsid w:val="009F7944"/>
    <w:rsid w:val="009F7BF0"/>
    <w:rsid w:val="009F7C88"/>
    <w:rsid w:val="00A00683"/>
    <w:rsid w:val="00A008D9"/>
    <w:rsid w:val="00A00A90"/>
    <w:rsid w:val="00A00B0B"/>
    <w:rsid w:val="00A018D1"/>
    <w:rsid w:val="00A01A0B"/>
    <w:rsid w:val="00A027EF"/>
    <w:rsid w:val="00A03653"/>
    <w:rsid w:val="00A03740"/>
    <w:rsid w:val="00A0374F"/>
    <w:rsid w:val="00A040D4"/>
    <w:rsid w:val="00A041D8"/>
    <w:rsid w:val="00A05021"/>
    <w:rsid w:val="00A05E55"/>
    <w:rsid w:val="00A073A4"/>
    <w:rsid w:val="00A07C91"/>
    <w:rsid w:val="00A07F15"/>
    <w:rsid w:val="00A10762"/>
    <w:rsid w:val="00A10AB8"/>
    <w:rsid w:val="00A10F39"/>
    <w:rsid w:val="00A1138F"/>
    <w:rsid w:val="00A11A33"/>
    <w:rsid w:val="00A11C2C"/>
    <w:rsid w:val="00A11E26"/>
    <w:rsid w:val="00A12256"/>
    <w:rsid w:val="00A128B5"/>
    <w:rsid w:val="00A131A8"/>
    <w:rsid w:val="00A13BD2"/>
    <w:rsid w:val="00A14199"/>
    <w:rsid w:val="00A147D8"/>
    <w:rsid w:val="00A14E90"/>
    <w:rsid w:val="00A155A1"/>
    <w:rsid w:val="00A156C0"/>
    <w:rsid w:val="00A15A34"/>
    <w:rsid w:val="00A15E46"/>
    <w:rsid w:val="00A16249"/>
    <w:rsid w:val="00A1681E"/>
    <w:rsid w:val="00A172B6"/>
    <w:rsid w:val="00A17308"/>
    <w:rsid w:val="00A1744A"/>
    <w:rsid w:val="00A17930"/>
    <w:rsid w:val="00A17A32"/>
    <w:rsid w:val="00A20334"/>
    <w:rsid w:val="00A205A5"/>
    <w:rsid w:val="00A20970"/>
    <w:rsid w:val="00A211BF"/>
    <w:rsid w:val="00A21777"/>
    <w:rsid w:val="00A23059"/>
    <w:rsid w:val="00A2316A"/>
    <w:rsid w:val="00A23BBF"/>
    <w:rsid w:val="00A245AA"/>
    <w:rsid w:val="00A25123"/>
    <w:rsid w:val="00A259A9"/>
    <w:rsid w:val="00A25C1A"/>
    <w:rsid w:val="00A25CC4"/>
    <w:rsid w:val="00A25D87"/>
    <w:rsid w:val="00A25EE6"/>
    <w:rsid w:val="00A260A1"/>
    <w:rsid w:val="00A2724B"/>
    <w:rsid w:val="00A27B06"/>
    <w:rsid w:val="00A27FDA"/>
    <w:rsid w:val="00A300C7"/>
    <w:rsid w:val="00A301AF"/>
    <w:rsid w:val="00A30559"/>
    <w:rsid w:val="00A31191"/>
    <w:rsid w:val="00A31334"/>
    <w:rsid w:val="00A315BE"/>
    <w:rsid w:val="00A316D7"/>
    <w:rsid w:val="00A32429"/>
    <w:rsid w:val="00A327BF"/>
    <w:rsid w:val="00A32CFB"/>
    <w:rsid w:val="00A3335E"/>
    <w:rsid w:val="00A334C7"/>
    <w:rsid w:val="00A33570"/>
    <w:rsid w:val="00A3369A"/>
    <w:rsid w:val="00A3392D"/>
    <w:rsid w:val="00A33AC7"/>
    <w:rsid w:val="00A33F39"/>
    <w:rsid w:val="00A3473C"/>
    <w:rsid w:val="00A35846"/>
    <w:rsid w:val="00A35E2E"/>
    <w:rsid w:val="00A366A6"/>
    <w:rsid w:val="00A36740"/>
    <w:rsid w:val="00A37865"/>
    <w:rsid w:val="00A40675"/>
    <w:rsid w:val="00A40D15"/>
    <w:rsid w:val="00A40D3D"/>
    <w:rsid w:val="00A41202"/>
    <w:rsid w:val="00A417BE"/>
    <w:rsid w:val="00A42051"/>
    <w:rsid w:val="00A421F6"/>
    <w:rsid w:val="00A425B9"/>
    <w:rsid w:val="00A42670"/>
    <w:rsid w:val="00A4273A"/>
    <w:rsid w:val="00A42B53"/>
    <w:rsid w:val="00A42C25"/>
    <w:rsid w:val="00A435E7"/>
    <w:rsid w:val="00A4373C"/>
    <w:rsid w:val="00A43970"/>
    <w:rsid w:val="00A45810"/>
    <w:rsid w:val="00A4593C"/>
    <w:rsid w:val="00A46471"/>
    <w:rsid w:val="00A468D8"/>
    <w:rsid w:val="00A4694F"/>
    <w:rsid w:val="00A47907"/>
    <w:rsid w:val="00A50CBB"/>
    <w:rsid w:val="00A514B5"/>
    <w:rsid w:val="00A518E8"/>
    <w:rsid w:val="00A51AC4"/>
    <w:rsid w:val="00A51C5A"/>
    <w:rsid w:val="00A525CA"/>
    <w:rsid w:val="00A52B77"/>
    <w:rsid w:val="00A52ED6"/>
    <w:rsid w:val="00A530BC"/>
    <w:rsid w:val="00A53456"/>
    <w:rsid w:val="00A53581"/>
    <w:rsid w:val="00A535E4"/>
    <w:rsid w:val="00A54042"/>
    <w:rsid w:val="00A5427A"/>
    <w:rsid w:val="00A548DD"/>
    <w:rsid w:val="00A54DF6"/>
    <w:rsid w:val="00A54F72"/>
    <w:rsid w:val="00A55BCF"/>
    <w:rsid w:val="00A55D20"/>
    <w:rsid w:val="00A567A3"/>
    <w:rsid w:val="00A6037D"/>
    <w:rsid w:val="00A616AA"/>
    <w:rsid w:val="00A62625"/>
    <w:rsid w:val="00A6266D"/>
    <w:rsid w:val="00A62F32"/>
    <w:rsid w:val="00A636FD"/>
    <w:rsid w:val="00A6395C"/>
    <w:rsid w:val="00A64348"/>
    <w:rsid w:val="00A646BB"/>
    <w:rsid w:val="00A64D10"/>
    <w:rsid w:val="00A65A64"/>
    <w:rsid w:val="00A65B01"/>
    <w:rsid w:val="00A65E25"/>
    <w:rsid w:val="00A6669C"/>
    <w:rsid w:val="00A6705A"/>
    <w:rsid w:val="00A672AE"/>
    <w:rsid w:val="00A675A3"/>
    <w:rsid w:val="00A675C5"/>
    <w:rsid w:val="00A678FD"/>
    <w:rsid w:val="00A701F6"/>
    <w:rsid w:val="00A7038E"/>
    <w:rsid w:val="00A709C3"/>
    <w:rsid w:val="00A709E7"/>
    <w:rsid w:val="00A710FE"/>
    <w:rsid w:val="00A715F7"/>
    <w:rsid w:val="00A71BF7"/>
    <w:rsid w:val="00A71C27"/>
    <w:rsid w:val="00A721D9"/>
    <w:rsid w:val="00A724AE"/>
    <w:rsid w:val="00A731F6"/>
    <w:rsid w:val="00A73D33"/>
    <w:rsid w:val="00A74234"/>
    <w:rsid w:val="00A754E1"/>
    <w:rsid w:val="00A75CB5"/>
    <w:rsid w:val="00A762ED"/>
    <w:rsid w:val="00A76862"/>
    <w:rsid w:val="00A77CCD"/>
    <w:rsid w:val="00A77F18"/>
    <w:rsid w:val="00A77F62"/>
    <w:rsid w:val="00A802C7"/>
    <w:rsid w:val="00A80CC1"/>
    <w:rsid w:val="00A80EDD"/>
    <w:rsid w:val="00A8174F"/>
    <w:rsid w:val="00A819B0"/>
    <w:rsid w:val="00A81B0D"/>
    <w:rsid w:val="00A81C62"/>
    <w:rsid w:val="00A81F6D"/>
    <w:rsid w:val="00A827D4"/>
    <w:rsid w:val="00A82CCA"/>
    <w:rsid w:val="00A8375F"/>
    <w:rsid w:val="00A8381B"/>
    <w:rsid w:val="00A83BE1"/>
    <w:rsid w:val="00A84022"/>
    <w:rsid w:val="00A84562"/>
    <w:rsid w:val="00A84F9D"/>
    <w:rsid w:val="00A85D3B"/>
    <w:rsid w:val="00A8623D"/>
    <w:rsid w:val="00A86CF4"/>
    <w:rsid w:val="00A87205"/>
    <w:rsid w:val="00A87206"/>
    <w:rsid w:val="00A87E63"/>
    <w:rsid w:val="00A87F74"/>
    <w:rsid w:val="00A9009F"/>
    <w:rsid w:val="00A90854"/>
    <w:rsid w:val="00A90CE1"/>
    <w:rsid w:val="00A911ED"/>
    <w:rsid w:val="00A91B67"/>
    <w:rsid w:val="00A91B71"/>
    <w:rsid w:val="00A91E66"/>
    <w:rsid w:val="00A92408"/>
    <w:rsid w:val="00A9245E"/>
    <w:rsid w:val="00A925DE"/>
    <w:rsid w:val="00A9296D"/>
    <w:rsid w:val="00A9351B"/>
    <w:rsid w:val="00A93A77"/>
    <w:rsid w:val="00A93DCA"/>
    <w:rsid w:val="00A94A06"/>
    <w:rsid w:val="00A94B1B"/>
    <w:rsid w:val="00A94C7E"/>
    <w:rsid w:val="00A951B9"/>
    <w:rsid w:val="00A95895"/>
    <w:rsid w:val="00A95AD6"/>
    <w:rsid w:val="00A95F6A"/>
    <w:rsid w:val="00A96881"/>
    <w:rsid w:val="00A96C7C"/>
    <w:rsid w:val="00AA01ED"/>
    <w:rsid w:val="00AA06A3"/>
    <w:rsid w:val="00AA0B75"/>
    <w:rsid w:val="00AA0D31"/>
    <w:rsid w:val="00AA0E49"/>
    <w:rsid w:val="00AA14C5"/>
    <w:rsid w:val="00AA1643"/>
    <w:rsid w:val="00AA21E1"/>
    <w:rsid w:val="00AA2462"/>
    <w:rsid w:val="00AA2577"/>
    <w:rsid w:val="00AA25B1"/>
    <w:rsid w:val="00AA28EA"/>
    <w:rsid w:val="00AA290F"/>
    <w:rsid w:val="00AA373E"/>
    <w:rsid w:val="00AA3744"/>
    <w:rsid w:val="00AA3AE2"/>
    <w:rsid w:val="00AA3CEA"/>
    <w:rsid w:val="00AA436A"/>
    <w:rsid w:val="00AA44EE"/>
    <w:rsid w:val="00AA4E53"/>
    <w:rsid w:val="00AA5347"/>
    <w:rsid w:val="00AA5780"/>
    <w:rsid w:val="00AA5887"/>
    <w:rsid w:val="00AA5B3F"/>
    <w:rsid w:val="00AA5ECD"/>
    <w:rsid w:val="00AA6239"/>
    <w:rsid w:val="00AA62DF"/>
    <w:rsid w:val="00AA6C62"/>
    <w:rsid w:val="00AA6C66"/>
    <w:rsid w:val="00AA70ED"/>
    <w:rsid w:val="00AA7763"/>
    <w:rsid w:val="00AA776D"/>
    <w:rsid w:val="00AA7822"/>
    <w:rsid w:val="00AA791C"/>
    <w:rsid w:val="00AA7FC4"/>
    <w:rsid w:val="00AB0701"/>
    <w:rsid w:val="00AB19D6"/>
    <w:rsid w:val="00AB2375"/>
    <w:rsid w:val="00AB2625"/>
    <w:rsid w:val="00AB2EA6"/>
    <w:rsid w:val="00AB33CC"/>
    <w:rsid w:val="00AB34BD"/>
    <w:rsid w:val="00AB40BE"/>
    <w:rsid w:val="00AB4A66"/>
    <w:rsid w:val="00AB4E53"/>
    <w:rsid w:val="00AB4F74"/>
    <w:rsid w:val="00AB4FB9"/>
    <w:rsid w:val="00AB5120"/>
    <w:rsid w:val="00AB5DC8"/>
    <w:rsid w:val="00AB6233"/>
    <w:rsid w:val="00AB6CDC"/>
    <w:rsid w:val="00AB6DAA"/>
    <w:rsid w:val="00AB717C"/>
    <w:rsid w:val="00AB733B"/>
    <w:rsid w:val="00AB7B9D"/>
    <w:rsid w:val="00AC017C"/>
    <w:rsid w:val="00AC0B5C"/>
    <w:rsid w:val="00AC0DD8"/>
    <w:rsid w:val="00AC104B"/>
    <w:rsid w:val="00AC2218"/>
    <w:rsid w:val="00AC23BD"/>
    <w:rsid w:val="00AC25C6"/>
    <w:rsid w:val="00AC3025"/>
    <w:rsid w:val="00AC31BF"/>
    <w:rsid w:val="00AC3480"/>
    <w:rsid w:val="00AC3801"/>
    <w:rsid w:val="00AC3FD3"/>
    <w:rsid w:val="00AC450E"/>
    <w:rsid w:val="00AC5007"/>
    <w:rsid w:val="00AC5A63"/>
    <w:rsid w:val="00AC6156"/>
    <w:rsid w:val="00AC706E"/>
    <w:rsid w:val="00AC72F8"/>
    <w:rsid w:val="00AC794A"/>
    <w:rsid w:val="00AC7B19"/>
    <w:rsid w:val="00AC7B5C"/>
    <w:rsid w:val="00AD1B9A"/>
    <w:rsid w:val="00AD25F3"/>
    <w:rsid w:val="00AD2F1B"/>
    <w:rsid w:val="00AD3233"/>
    <w:rsid w:val="00AD37B8"/>
    <w:rsid w:val="00AD3981"/>
    <w:rsid w:val="00AD3B70"/>
    <w:rsid w:val="00AD3C30"/>
    <w:rsid w:val="00AD3EEB"/>
    <w:rsid w:val="00AD4B05"/>
    <w:rsid w:val="00AD56D8"/>
    <w:rsid w:val="00AD6C0B"/>
    <w:rsid w:val="00AD6CDA"/>
    <w:rsid w:val="00AD6DA3"/>
    <w:rsid w:val="00AD6EBC"/>
    <w:rsid w:val="00AD708A"/>
    <w:rsid w:val="00AD7BBA"/>
    <w:rsid w:val="00AE0979"/>
    <w:rsid w:val="00AE1082"/>
    <w:rsid w:val="00AE1086"/>
    <w:rsid w:val="00AE11D3"/>
    <w:rsid w:val="00AE133E"/>
    <w:rsid w:val="00AE1901"/>
    <w:rsid w:val="00AE1B4D"/>
    <w:rsid w:val="00AE1C37"/>
    <w:rsid w:val="00AE1EA6"/>
    <w:rsid w:val="00AE297D"/>
    <w:rsid w:val="00AE2B0F"/>
    <w:rsid w:val="00AE2EE8"/>
    <w:rsid w:val="00AE2F66"/>
    <w:rsid w:val="00AE310C"/>
    <w:rsid w:val="00AE318D"/>
    <w:rsid w:val="00AE347B"/>
    <w:rsid w:val="00AE35DC"/>
    <w:rsid w:val="00AE3723"/>
    <w:rsid w:val="00AE37F3"/>
    <w:rsid w:val="00AE39E7"/>
    <w:rsid w:val="00AE40DE"/>
    <w:rsid w:val="00AE4878"/>
    <w:rsid w:val="00AE49E6"/>
    <w:rsid w:val="00AE4FA6"/>
    <w:rsid w:val="00AE54F7"/>
    <w:rsid w:val="00AE606B"/>
    <w:rsid w:val="00AE64D6"/>
    <w:rsid w:val="00AE676C"/>
    <w:rsid w:val="00AE6B21"/>
    <w:rsid w:val="00AE7066"/>
    <w:rsid w:val="00AE70AC"/>
    <w:rsid w:val="00AE72AD"/>
    <w:rsid w:val="00AE74B4"/>
    <w:rsid w:val="00AE78E0"/>
    <w:rsid w:val="00AE7CF1"/>
    <w:rsid w:val="00AE7EA7"/>
    <w:rsid w:val="00AF005C"/>
    <w:rsid w:val="00AF18BB"/>
    <w:rsid w:val="00AF195B"/>
    <w:rsid w:val="00AF1E78"/>
    <w:rsid w:val="00AF2035"/>
    <w:rsid w:val="00AF220A"/>
    <w:rsid w:val="00AF2BC7"/>
    <w:rsid w:val="00AF2DCA"/>
    <w:rsid w:val="00AF2E26"/>
    <w:rsid w:val="00AF2F19"/>
    <w:rsid w:val="00AF338E"/>
    <w:rsid w:val="00AF35EA"/>
    <w:rsid w:val="00AF372B"/>
    <w:rsid w:val="00AF3C0C"/>
    <w:rsid w:val="00AF4352"/>
    <w:rsid w:val="00AF48D3"/>
    <w:rsid w:val="00AF4CCE"/>
    <w:rsid w:val="00AF4FBB"/>
    <w:rsid w:val="00AF5044"/>
    <w:rsid w:val="00AF50AC"/>
    <w:rsid w:val="00AF59BD"/>
    <w:rsid w:val="00AF5A86"/>
    <w:rsid w:val="00AF6C90"/>
    <w:rsid w:val="00AF6FE4"/>
    <w:rsid w:val="00AF744C"/>
    <w:rsid w:val="00AF74E2"/>
    <w:rsid w:val="00AF758A"/>
    <w:rsid w:val="00AF75A1"/>
    <w:rsid w:val="00AF7812"/>
    <w:rsid w:val="00AF7B28"/>
    <w:rsid w:val="00AF7E00"/>
    <w:rsid w:val="00B00004"/>
    <w:rsid w:val="00B001AF"/>
    <w:rsid w:val="00B0092F"/>
    <w:rsid w:val="00B013BE"/>
    <w:rsid w:val="00B02975"/>
    <w:rsid w:val="00B0302F"/>
    <w:rsid w:val="00B035A6"/>
    <w:rsid w:val="00B0370E"/>
    <w:rsid w:val="00B0396C"/>
    <w:rsid w:val="00B03BE4"/>
    <w:rsid w:val="00B03D8B"/>
    <w:rsid w:val="00B04006"/>
    <w:rsid w:val="00B04173"/>
    <w:rsid w:val="00B04392"/>
    <w:rsid w:val="00B04866"/>
    <w:rsid w:val="00B04A61"/>
    <w:rsid w:val="00B04ABF"/>
    <w:rsid w:val="00B04B24"/>
    <w:rsid w:val="00B04D19"/>
    <w:rsid w:val="00B055E6"/>
    <w:rsid w:val="00B06430"/>
    <w:rsid w:val="00B0737B"/>
    <w:rsid w:val="00B075F8"/>
    <w:rsid w:val="00B0779D"/>
    <w:rsid w:val="00B07E07"/>
    <w:rsid w:val="00B10095"/>
    <w:rsid w:val="00B10381"/>
    <w:rsid w:val="00B1042A"/>
    <w:rsid w:val="00B10900"/>
    <w:rsid w:val="00B10B0A"/>
    <w:rsid w:val="00B10C2C"/>
    <w:rsid w:val="00B112C7"/>
    <w:rsid w:val="00B115B8"/>
    <w:rsid w:val="00B1189B"/>
    <w:rsid w:val="00B12B06"/>
    <w:rsid w:val="00B12CE0"/>
    <w:rsid w:val="00B1314D"/>
    <w:rsid w:val="00B131A6"/>
    <w:rsid w:val="00B13310"/>
    <w:rsid w:val="00B1351A"/>
    <w:rsid w:val="00B13A84"/>
    <w:rsid w:val="00B13C49"/>
    <w:rsid w:val="00B13CCF"/>
    <w:rsid w:val="00B15399"/>
    <w:rsid w:val="00B15503"/>
    <w:rsid w:val="00B157EF"/>
    <w:rsid w:val="00B1628B"/>
    <w:rsid w:val="00B16D51"/>
    <w:rsid w:val="00B173BB"/>
    <w:rsid w:val="00B17957"/>
    <w:rsid w:val="00B17AF3"/>
    <w:rsid w:val="00B17B4F"/>
    <w:rsid w:val="00B17EC1"/>
    <w:rsid w:val="00B20430"/>
    <w:rsid w:val="00B207FB"/>
    <w:rsid w:val="00B20B91"/>
    <w:rsid w:val="00B20CD0"/>
    <w:rsid w:val="00B20FE9"/>
    <w:rsid w:val="00B21C2F"/>
    <w:rsid w:val="00B21D2C"/>
    <w:rsid w:val="00B21E63"/>
    <w:rsid w:val="00B22DE5"/>
    <w:rsid w:val="00B23DC6"/>
    <w:rsid w:val="00B249D4"/>
    <w:rsid w:val="00B24B2C"/>
    <w:rsid w:val="00B253BD"/>
    <w:rsid w:val="00B25711"/>
    <w:rsid w:val="00B2582A"/>
    <w:rsid w:val="00B26674"/>
    <w:rsid w:val="00B266B3"/>
    <w:rsid w:val="00B26716"/>
    <w:rsid w:val="00B2672A"/>
    <w:rsid w:val="00B26914"/>
    <w:rsid w:val="00B26B84"/>
    <w:rsid w:val="00B270CB"/>
    <w:rsid w:val="00B276AF"/>
    <w:rsid w:val="00B279D1"/>
    <w:rsid w:val="00B30EFC"/>
    <w:rsid w:val="00B31E50"/>
    <w:rsid w:val="00B32291"/>
    <w:rsid w:val="00B327A7"/>
    <w:rsid w:val="00B33EED"/>
    <w:rsid w:val="00B33FD2"/>
    <w:rsid w:val="00B3549C"/>
    <w:rsid w:val="00B359C2"/>
    <w:rsid w:val="00B359EA"/>
    <w:rsid w:val="00B362D3"/>
    <w:rsid w:val="00B37064"/>
    <w:rsid w:val="00B4190B"/>
    <w:rsid w:val="00B41A0E"/>
    <w:rsid w:val="00B41E10"/>
    <w:rsid w:val="00B42539"/>
    <w:rsid w:val="00B42D22"/>
    <w:rsid w:val="00B431E0"/>
    <w:rsid w:val="00B4347D"/>
    <w:rsid w:val="00B43DC9"/>
    <w:rsid w:val="00B443A8"/>
    <w:rsid w:val="00B44658"/>
    <w:rsid w:val="00B451FA"/>
    <w:rsid w:val="00B4586C"/>
    <w:rsid w:val="00B45E28"/>
    <w:rsid w:val="00B461D7"/>
    <w:rsid w:val="00B461FB"/>
    <w:rsid w:val="00B46955"/>
    <w:rsid w:val="00B50ED4"/>
    <w:rsid w:val="00B517D1"/>
    <w:rsid w:val="00B51ADA"/>
    <w:rsid w:val="00B52153"/>
    <w:rsid w:val="00B521F5"/>
    <w:rsid w:val="00B52262"/>
    <w:rsid w:val="00B527D8"/>
    <w:rsid w:val="00B52EE3"/>
    <w:rsid w:val="00B5358D"/>
    <w:rsid w:val="00B5359C"/>
    <w:rsid w:val="00B538D7"/>
    <w:rsid w:val="00B53EC9"/>
    <w:rsid w:val="00B54700"/>
    <w:rsid w:val="00B552A8"/>
    <w:rsid w:val="00B5553C"/>
    <w:rsid w:val="00B55A7C"/>
    <w:rsid w:val="00B55C96"/>
    <w:rsid w:val="00B5602F"/>
    <w:rsid w:val="00B573A4"/>
    <w:rsid w:val="00B573B1"/>
    <w:rsid w:val="00B57466"/>
    <w:rsid w:val="00B5785D"/>
    <w:rsid w:val="00B610A7"/>
    <w:rsid w:val="00B61746"/>
    <w:rsid w:val="00B61E3C"/>
    <w:rsid w:val="00B621EA"/>
    <w:rsid w:val="00B62AA3"/>
    <w:rsid w:val="00B62B76"/>
    <w:rsid w:val="00B6325B"/>
    <w:rsid w:val="00B632F4"/>
    <w:rsid w:val="00B63F17"/>
    <w:rsid w:val="00B64A0E"/>
    <w:rsid w:val="00B64ED3"/>
    <w:rsid w:val="00B651FA"/>
    <w:rsid w:val="00B65A08"/>
    <w:rsid w:val="00B65B95"/>
    <w:rsid w:val="00B65F2C"/>
    <w:rsid w:val="00B67000"/>
    <w:rsid w:val="00B67013"/>
    <w:rsid w:val="00B671A5"/>
    <w:rsid w:val="00B67BED"/>
    <w:rsid w:val="00B67CA2"/>
    <w:rsid w:val="00B67CF4"/>
    <w:rsid w:val="00B71254"/>
    <w:rsid w:val="00B71493"/>
    <w:rsid w:val="00B715D6"/>
    <w:rsid w:val="00B71E4C"/>
    <w:rsid w:val="00B71E73"/>
    <w:rsid w:val="00B7237C"/>
    <w:rsid w:val="00B730B4"/>
    <w:rsid w:val="00B745DD"/>
    <w:rsid w:val="00B75887"/>
    <w:rsid w:val="00B762D4"/>
    <w:rsid w:val="00B768E8"/>
    <w:rsid w:val="00B76AC0"/>
    <w:rsid w:val="00B77656"/>
    <w:rsid w:val="00B77A04"/>
    <w:rsid w:val="00B77C46"/>
    <w:rsid w:val="00B80065"/>
    <w:rsid w:val="00B805A1"/>
    <w:rsid w:val="00B8069B"/>
    <w:rsid w:val="00B81428"/>
    <w:rsid w:val="00B834BA"/>
    <w:rsid w:val="00B83F93"/>
    <w:rsid w:val="00B84B94"/>
    <w:rsid w:val="00B854EB"/>
    <w:rsid w:val="00B85759"/>
    <w:rsid w:val="00B86029"/>
    <w:rsid w:val="00B862C5"/>
    <w:rsid w:val="00B86343"/>
    <w:rsid w:val="00B865B0"/>
    <w:rsid w:val="00B868E9"/>
    <w:rsid w:val="00B86935"/>
    <w:rsid w:val="00B8735F"/>
    <w:rsid w:val="00B87637"/>
    <w:rsid w:val="00B87853"/>
    <w:rsid w:val="00B87883"/>
    <w:rsid w:val="00B87925"/>
    <w:rsid w:val="00B87CCB"/>
    <w:rsid w:val="00B90124"/>
    <w:rsid w:val="00B90367"/>
    <w:rsid w:val="00B90B0B"/>
    <w:rsid w:val="00B921FD"/>
    <w:rsid w:val="00B92244"/>
    <w:rsid w:val="00B9284F"/>
    <w:rsid w:val="00B92FCC"/>
    <w:rsid w:val="00B93805"/>
    <w:rsid w:val="00B93887"/>
    <w:rsid w:val="00B939EB"/>
    <w:rsid w:val="00B94223"/>
    <w:rsid w:val="00B95251"/>
    <w:rsid w:val="00B95439"/>
    <w:rsid w:val="00B97891"/>
    <w:rsid w:val="00BA10E3"/>
    <w:rsid w:val="00BA1CF7"/>
    <w:rsid w:val="00BA1F0D"/>
    <w:rsid w:val="00BA3A2E"/>
    <w:rsid w:val="00BA3E20"/>
    <w:rsid w:val="00BA40D5"/>
    <w:rsid w:val="00BA4689"/>
    <w:rsid w:val="00BA5EA4"/>
    <w:rsid w:val="00BA60EF"/>
    <w:rsid w:val="00BA67AB"/>
    <w:rsid w:val="00BA6CE8"/>
    <w:rsid w:val="00BA7210"/>
    <w:rsid w:val="00BB15B7"/>
    <w:rsid w:val="00BB1728"/>
    <w:rsid w:val="00BB17E1"/>
    <w:rsid w:val="00BB1A28"/>
    <w:rsid w:val="00BB2A66"/>
    <w:rsid w:val="00BB2A85"/>
    <w:rsid w:val="00BB2F2B"/>
    <w:rsid w:val="00BB3008"/>
    <w:rsid w:val="00BB304E"/>
    <w:rsid w:val="00BB327E"/>
    <w:rsid w:val="00BB42AB"/>
    <w:rsid w:val="00BB472F"/>
    <w:rsid w:val="00BB48B6"/>
    <w:rsid w:val="00BB4E23"/>
    <w:rsid w:val="00BB57C0"/>
    <w:rsid w:val="00BB5D23"/>
    <w:rsid w:val="00BB5DAF"/>
    <w:rsid w:val="00BB647B"/>
    <w:rsid w:val="00BB66E1"/>
    <w:rsid w:val="00BB687E"/>
    <w:rsid w:val="00BB7397"/>
    <w:rsid w:val="00BB7403"/>
    <w:rsid w:val="00BB7404"/>
    <w:rsid w:val="00BB7B1E"/>
    <w:rsid w:val="00BC07F7"/>
    <w:rsid w:val="00BC0838"/>
    <w:rsid w:val="00BC0962"/>
    <w:rsid w:val="00BC0DB7"/>
    <w:rsid w:val="00BC0E1B"/>
    <w:rsid w:val="00BC1412"/>
    <w:rsid w:val="00BC1AC4"/>
    <w:rsid w:val="00BC2DBD"/>
    <w:rsid w:val="00BC317F"/>
    <w:rsid w:val="00BC39CA"/>
    <w:rsid w:val="00BC4199"/>
    <w:rsid w:val="00BC44AC"/>
    <w:rsid w:val="00BC4642"/>
    <w:rsid w:val="00BC46C7"/>
    <w:rsid w:val="00BC4740"/>
    <w:rsid w:val="00BC47F6"/>
    <w:rsid w:val="00BC4994"/>
    <w:rsid w:val="00BC4B0C"/>
    <w:rsid w:val="00BC4FE7"/>
    <w:rsid w:val="00BC52EC"/>
    <w:rsid w:val="00BC58F0"/>
    <w:rsid w:val="00BC5D4B"/>
    <w:rsid w:val="00BC6033"/>
    <w:rsid w:val="00BC6168"/>
    <w:rsid w:val="00BC687F"/>
    <w:rsid w:val="00BC7580"/>
    <w:rsid w:val="00BC7719"/>
    <w:rsid w:val="00BC7D24"/>
    <w:rsid w:val="00BC7F31"/>
    <w:rsid w:val="00BD167C"/>
    <w:rsid w:val="00BD1780"/>
    <w:rsid w:val="00BD1ABB"/>
    <w:rsid w:val="00BD1D94"/>
    <w:rsid w:val="00BD27F4"/>
    <w:rsid w:val="00BD3538"/>
    <w:rsid w:val="00BD3865"/>
    <w:rsid w:val="00BD3BEF"/>
    <w:rsid w:val="00BD3C14"/>
    <w:rsid w:val="00BD4126"/>
    <w:rsid w:val="00BD4C8B"/>
    <w:rsid w:val="00BD53F2"/>
    <w:rsid w:val="00BD565E"/>
    <w:rsid w:val="00BD6EAA"/>
    <w:rsid w:val="00BD747B"/>
    <w:rsid w:val="00BD76F6"/>
    <w:rsid w:val="00BD7AB0"/>
    <w:rsid w:val="00BD7C25"/>
    <w:rsid w:val="00BE0921"/>
    <w:rsid w:val="00BE168B"/>
    <w:rsid w:val="00BE1695"/>
    <w:rsid w:val="00BE16F0"/>
    <w:rsid w:val="00BE1836"/>
    <w:rsid w:val="00BE18DA"/>
    <w:rsid w:val="00BE2564"/>
    <w:rsid w:val="00BE293A"/>
    <w:rsid w:val="00BE2E1B"/>
    <w:rsid w:val="00BE3256"/>
    <w:rsid w:val="00BE3CF1"/>
    <w:rsid w:val="00BE41EC"/>
    <w:rsid w:val="00BE45A4"/>
    <w:rsid w:val="00BE4920"/>
    <w:rsid w:val="00BE4CBE"/>
    <w:rsid w:val="00BE4CD1"/>
    <w:rsid w:val="00BE5083"/>
    <w:rsid w:val="00BE55F1"/>
    <w:rsid w:val="00BE58CE"/>
    <w:rsid w:val="00BE5B0E"/>
    <w:rsid w:val="00BE6628"/>
    <w:rsid w:val="00BE6806"/>
    <w:rsid w:val="00BE6DCE"/>
    <w:rsid w:val="00BE6FEA"/>
    <w:rsid w:val="00BE719C"/>
    <w:rsid w:val="00BE722A"/>
    <w:rsid w:val="00BE72CC"/>
    <w:rsid w:val="00BE73DD"/>
    <w:rsid w:val="00BE7965"/>
    <w:rsid w:val="00BE7C15"/>
    <w:rsid w:val="00BF0301"/>
    <w:rsid w:val="00BF0CA0"/>
    <w:rsid w:val="00BF1712"/>
    <w:rsid w:val="00BF19A7"/>
    <w:rsid w:val="00BF1B28"/>
    <w:rsid w:val="00BF1FD5"/>
    <w:rsid w:val="00BF2169"/>
    <w:rsid w:val="00BF3094"/>
    <w:rsid w:val="00BF390E"/>
    <w:rsid w:val="00BF3AD8"/>
    <w:rsid w:val="00BF3F19"/>
    <w:rsid w:val="00BF3F92"/>
    <w:rsid w:val="00BF4DEC"/>
    <w:rsid w:val="00BF56E7"/>
    <w:rsid w:val="00C0007A"/>
    <w:rsid w:val="00C00644"/>
    <w:rsid w:val="00C00932"/>
    <w:rsid w:val="00C01457"/>
    <w:rsid w:val="00C014D3"/>
    <w:rsid w:val="00C0164F"/>
    <w:rsid w:val="00C01946"/>
    <w:rsid w:val="00C01AC3"/>
    <w:rsid w:val="00C022E8"/>
    <w:rsid w:val="00C023F5"/>
    <w:rsid w:val="00C02EF8"/>
    <w:rsid w:val="00C037C4"/>
    <w:rsid w:val="00C037F1"/>
    <w:rsid w:val="00C03D12"/>
    <w:rsid w:val="00C04292"/>
    <w:rsid w:val="00C045F7"/>
    <w:rsid w:val="00C05261"/>
    <w:rsid w:val="00C05D9D"/>
    <w:rsid w:val="00C05DA8"/>
    <w:rsid w:val="00C06622"/>
    <w:rsid w:val="00C0664F"/>
    <w:rsid w:val="00C06776"/>
    <w:rsid w:val="00C06C4C"/>
    <w:rsid w:val="00C07F4D"/>
    <w:rsid w:val="00C10973"/>
    <w:rsid w:val="00C10DAE"/>
    <w:rsid w:val="00C118D1"/>
    <w:rsid w:val="00C11E15"/>
    <w:rsid w:val="00C11F37"/>
    <w:rsid w:val="00C121DC"/>
    <w:rsid w:val="00C12566"/>
    <w:rsid w:val="00C1270D"/>
    <w:rsid w:val="00C12EEF"/>
    <w:rsid w:val="00C134EB"/>
    <w:rsid w:val="00C14392"/>
    <w:rsid w:val="00C1533F"/>
    <w:rsid w:val="00C15ECB"/>
    <w:rsid w:val="00C163FE"/>
    <w:rsid w:val="00C16FFF"/>
    <w:rsid w:val="00C172C2"/>
    <w:rsid w:val="00C17648"/>
    <w:rsid w:val="00C176CD"/>
    <w:rsid w:val="00C17F17"/>
    <w:rsid w:val="00C2070F"/>
    <w:rsid w:val="00C209C3"/>
    <w:rsid w:val="00C21F0C"/>
    <w:rsid w:val="00C221D4"/>
    <w:rsid w:val="00C22BAD"/>
    <w:rsid w:val="00C2346D"/>
    <w:rsid w:val="00C23716"/>
    <w:rsid w:val="00C23A2F"/>
    <w:rsid w:val="00C23F18"/>
    <w:rsid w:val="00C247B0"/>
    <w:rsid w:val="00C2493A"/>
    <w:rsid w:val="00C24A72"/>
    <w:rsid w:val="00C24F06"/>
    <w:rsid w:val="00C24FC7"/>
    <w:rsid w:val="00C25022"/>
    <w:rsid w:val="00C25236"/>
    <w:rsid w:val="00C2534D"/>
    <w:rsid w:val="00C25607"/>
    <w:rsid w:val="00C2586A"/>
    <w:rsid w:val="00C25C7B"/>
    <w:rsid w:val="00C265C1"/>
    <w:rsid w:val="00C269D1"/>
    <w:rsid w:val="00C27098"/>
    <w:rsid w:val="00C2728D"/>
    <w:rsid w:val="00C2767B"/>
    <w:rsid w:val="00C2778E"/>
    <w:rsid w:val="00C2788C"/>
    <w:rsid w:val="00C279DF"/>
    <w:rsid w:val="00C27E98"/>
    <w:rsid w:val="00C27EF3"/>
    <w:rsid w:val="00C302AE"/>
    <w:rsid w:val="00C302C5"/>
    <w:rsid w:val="00C30687"/>
    <w:rsid w:val="00C306B9"/>
    <w:rsid w:val="00C306D8"/>
    <w:rsid w:val="00C30903"/>
    <w:rsid w:val="00C30B3D"/>
    <w:rsid w:val="00C30B8F"/>
    <w:rsid w:val="00C315C5"/>
    <w:rsid w:val="00C315D5"/>
    <w:rsid w:val="00C3175A"/>
    <w:rsid w:val="00C31B16"/>
    <w:rsid w:val="00C31D2A"/>
    <w:rsid w:val="00C33473"/>
    <w:rsid w:val="00C34135"/>
    <w:rsid w:val="00C34205"/>
    <w:rsid w:val="00C345B6"/>
    <w:rsid w:val="00C34895"/>
    <w:rsid w:val="00C35A4B"/>
    <w:rsid w:val="00C36004"/>
    <w:rsid w:val="00C36201"/>
    <w:rsid w:val="00C36B64"/>
    <w:rsid w:val="00C36BDD"/>
    <w:rsid w:val="00C372C4"/>
    <w:rsid w:val="00C37A00"/>
    <w:rsid w:val="00C40381"/>
    <w:rsid w:val="00C4078F"/>
    <w:rsid w:val="00C40916"/>
    <w:rsid w:val="00C40E8C"/>
    <w:rsid w:val="00C41208"/>
    <w:rsid w:val="00C412E7"/>
    <w:rsid w:val="00C41D80"/>
    <w:rsid w:val="00C4257A"/>
    <w:rsid w:val="00C42759"/>
    <w:rsid w:val="00C42D78"/>
    <w:rsid w:val="00C42FC0"/>
    <w:rsid w:val="00C434E3"/>
    <w:rsid w:val="00C43E58"/>
    <w:rsid w:val="00C44066"/>
    <w:rsid w:val="00C4408B"/>
    <w:rsid w:val="00C44529"/>
    <w:rsid w:val="00C4542B"/>
    <w:rsid w:val="00C45E2B"/>
    <w:rsid w:val="00C460E6"/>
    <w:rsid w:val="00C47377"/>
    <w:rsid w:val="00C47560"/>
    <w:rsid w:val="00C50AB5"/>
    <w:rsid w:val="00C51108"/>
    <w:rsid w:val="00C53149"/>
    <w:rsid w:val="00C5432D"/>
    <w:rsid w:val="00C543D3"/>
    <w:rsid w:val="00C544A9"/>
    <w:rsid w:val="00C5452C"/>
    <w:rsid w:val="00C54619"/>
    <w:rsid w:val="00C55459"/>
    <w:rsid w:val="00C55761"/>
    <w:rsid w:val="00C55A65"/>
    <w:rsid w:val="00C56C3C"/>
    <w:rsid w:val="00C5748E"/>
    <w:rsid w:val="00C57C1B"/>
    <w:rsid w:val="00C609D5"/>
    <w:rsid w:val="00C60B80"/>
    <w:rsid w:val="00C60FA9"/>
    <w:rsid w:val="00C6127C"/>
    <w:rsid w:val="00C614B1"/>
    <w:rsid w:val="00C619BB"/>
    <w:rsid w:val="00C61CFE"/>
    <w:rsid w:val="00C62969"/>
    <w:rsid w:val="00C62EFF"/>
    <w:rsid w:val="00C62F4E"/>
    <w:rsid w:val="00C63243"/>
    <w:rsid w:val="00C63284"/>
    <w:rsid w:val="00C63331"/>
    <w:rsid w:val="00C633B6"/>
    <w:rsid w:val="00C64DE8"/>
    <w:rsid w:val="00C64F3A"/>
    <w:rsid w:val="00C65720"/>
    <w:rsid w:val="00C6593C"/>
    <w:rsid w:val="00C6593F"/>
    <w:rsid w:val="00C65964"/>
    <w:rsid w:val="00C65E24"/>
    <w:rsid w:val="00C65EB9"/>
    <w:rsid w:val="00C66223"/>
    <w:rsid w:val="00C6630F"/>
    <w:rsid w:val="00C66AE4"/>
    <w:rsid w:val="00C670B9"/>
    <w:rsid w:val="00C677AA"/>
    <w:rsid w:val="00C704BF"/>
    <w:rsid w:val="00C70B53"/>
    <w:rsid w:val="00C71339"/>
    <w:rsid w:val="00C71388"/>
    <w:rsid w:val="00C71E7F"/>
    <w:rsid w:val="00C72DD6"/>
    <w:rsid w:val="00C73609"/>
    <w:rsid w:val="00C73A6E"/>
    <w:rsid w:val="00C74452"/>
    <w:rsid w:val="00C74596"/>
    <w:rsid w:val="00C749CD"/>
    <w:rsid w:val="00C757C2"/>
    <w:rsid w:val="00C75D98"/>
    <w:rsid w:val="00C76AC4"/>
    <w:rsid w:val="00C808B0"/>
    <w:rsid w:val="00C80B94"/>
    <w:rsid w:val="00C80DD0"/>
    <w:rsid w:val="00C8113D"/>
    <w:rsid w:val="00C811D9"/>
    <w:rsid w:val="00C812FD"/>
    <w:rsid w:val="00C81D38"/>
    <w:rsid w:val="00C822F0"/>
    <w:rsid w:val="00C828F4"/>
    <w:rsid w:val="00C834F5"/>
    <w:rsid w:val="00C840F8"/>
    <w:rsid w:val="00C8499B"/>
    <w:rsid w:val="00C849AD"/>
    <w:rsid w:val="00C84DCC"/>
    <w:rsid w:val="00C85F7A"/>
    <w:rsid w:val="00C86016"/>
    <w:rsid w:val="00C86053"/>
    <w:rsid w:val="00C87186"/>
    <w:rsid w:val="00C87843"/>
    <w:rsid w:val="00C87C8A"/>
    <w:rsid w:val="00C900BB"/>
    <w:rsid w:val="00C9195D"/>
    <w:rsid w:val="00C92DE5"/>
    <w:rsid w:val="00C92EED"/>
    <w:rsid w:val="00C93AB6"/>
    <w:rsid w:val="00C93B52"/>
    <w:rsid w:val="00C943D2"/>
    <w:rsid w:val="00C9469E"/>
    <w:rsid w:val="00C957B1"/>
    <w:rsid w:val="00C95A0B"/>
    <w:rsid w:val="00C961B3"/>
    <w:rsid w:val="00C96655"/>
    <w:rsid w:val="00C96A78"/>
    <w:rsid w:val="00C96D08"/>
    <w:rsid w:val="00C96EB9"/>
    <w:rsid w:val="00C97CCC"/>
    <w:rsid w:val="00C97FF4"/>
    <w:rsid w:val="00CA000D"/>
    <w:rsid w:val="00CA02C7"/>
    <w:rsid w:val="00CA0DA7"/>
    <w:rsid w:val="00CA1126"/>
    <w:rsid w:val="00CA12E6"/>
    <w:rsid w:val="00CA1327"/>
    <w:rsid w:val="00CA16B2"/>
    <w:rsid w:val="00CA19ED"/>
    <w:rsid w:val="00CA2331"/>
    <w:rsid w:val="00CA2798"/>
    <w:rsid w:val="00CA2EC2"/>
    <w:rsid w:val="00CA3154"/>
    <w:rsid w:val="00CA4054"/>
    <w:rsid w:val="00CA432C"/>
    <w:rsid w:val="00CA446C"/>
    <w:rsid w:val="00CA4718"/>
    <w:rsid w:val="00CA4A36"/>
    <w:rsid w:val="00CA51FF"/>
    <w:rsid w:val="00CA5253"/>
    <w:rsid w:val="00CA551E"/>
    <w:rsid w:val="00CA5CC9"/>
    <w:rsid w:val="00CA608B"/>
    <w:rsid w:val="00CA694B"/>
    <w:rsid w:val="00CA6E29"/>
    <w:rsid w:val="00CA7368"/>
    <w:rsid w:val="00CA77D5"/>
    <w:rsid w:val="00CA7E79"/>
    <w:rsid w:val="00CB07F8"/>
    <w:rsid w:val="00CB09EA"/>
    <w:rsid w:val="00CB132B"/>
    <w:rsid w:val="00CB1561"/>
    <w:rsid w:val="00CB2B53"/>
    <w:rsid w:val="00CB31C9"/>
    <w:rsid w:val="00CB340E"/>
    <w:rsid w:val="00CB3D0C"/>
    <w:rsid w:val="00CB5B0A"/>
    <w:rsid w:val="00CB6184"/>
    <w:rsid w:val="00CB6450"/>
    <w:rsid w:val="00CB6834"/>
    <w:rsid w:val="00CB6D08"/>
    <w:rsid w:val="00CB78CD"/>
    <w:rsid w:val="00CB7AFF"/>
    <w:rsid w:val="00CC05AD"/>
    <w:rsid w:val="00CC087C"/>
    <w:rsid w:val="00CC20D5"/>
    <w:rsid w:val="00CC2827"/>
    <w:rsid w:val="00CC35F2"/>
    <w:rsid w:val="00CC3E48"/>
    <w:rsid w:val="00CC3F1C"/>
    <w:rsid w:val="00CC4057"/>
    <w:rsid w:val="00CC43D7"/>
    <w:rsid w:val="00CC4ACD"/>
    <w:rsid w:val="00CC4CC8"/>
    <w:rsid w:val="00CC4F95"/>
    <w:rsid w:val="00CC526B"/>
    <w:rsid w:val="00CC5C62"/>
    <w:rsid w:val="00CC75CB"/>
    <w:rsid w:val="00CD096E"/>
    <w:rsid w:val="00CD0994"/>
    <w:rsid w:val="00CD0C46"/>
    <w:rsid w:val="00CD0FF8"/>
    <w:rsid w:val="00CD1D16"/>
    <w:rsid w:val="00CD22AD"/>
    <w:rsid w:val="00CD25DF"/>
    <w:rsid w:val="00CD2611"/>
    <w:rsid w:val="00CD2DFE"/>
    <w:rsid w:val="00CD2F7B"/>
    <w:rsid w:val="00CD34F4"/>
    <w:rsid w:val="00CD3820"/>
    <w:rsid w:val="00CD46C9"/>
    <w:rsid w:val="00CD4B72"/>
    <w:rsid w:val="00CD4C30"/>
    <w:rsid w:val="00CD5D56"/>
    <w:rsid w:val="00CD6390"/>
    <w:rsid w:val="00CD63DF"/>
    <w:rsid w:val="00CD70FA"/>
    <w:rsid w:val="00CD7C91"/>
    <w:rsid w:val="00CD7EA0"/>
    <w:rsid w:val="00CE09BB"/>
    <w:rsid w:val="00CE0B2B"/>
    <w:rsid w:val="00CE0E71"/>
    <w:rsid w:val="00CE1373"/>
    <w:rsid w:val="00CE13BC"/>
    <w:rsid w:val="00CE13CF"/>
    <w:rsid w:val="00CE1550"/>
    <w:rsid w:val="00CE1957"/>
    <w:rsid w:val="00CE1F92"/>
    <w:rsid w:val="00CE287F"/>
    <w:rsid w:val="00CE2908"/>
    <w:rsid w:val="00CE2B95"/>
    <w:rsid w:val="00CE32FD"/>
    <w:rsid w:val="00CE413F"/>
    <w:rsid w:val="00CE4F1A"/>
    <w:rsid w:val="00CE53B0"/>
    <w:rsid w:val="00CE5680"/>
    <w:rsid w:val="00CE56B6"/>
    <w:rsid w:val="00CE575B"/>
    <w:rsid w:val="00CE5A11"/>
    <w:rsid w:val="00CE5A78"/>
    <w:rsid w:val="00CE5C1B"/>
    <w:rsid w:val="00CE5C3E"/>
    <w:rsid w:val="00CE5EC5"/>
    <w:rsid w:val="00CE66BD"/>
    <w:rsid w:val="00CE6B85"/>
    <w:rsid w:val="00CE6FF6"/>
    <w:rsid w:val="00CF03F1"/>
    <w:rsid w:val="00CF0D62"/>
    <w:rsid w:val="00CF0FA6"/>
    <w:rsid w:val="00CF1C11"/>
    <w:rsid w:val="00CF204B"/>
    <w:rsid w:val="00CF290A"/>
    <w:rsid w:val="00CF3561"/>
    <w:rsid w:val="00CF39C6"/>
    <w:rsid w:val="00CF3AF7"/>
    <w:rsid w:val="00CF4821"/>
    <w:rsid w:val="00CF4997"/>
    <w:rsid w:val="00CF50D3"/>
    <w:rsid w:val="00CF5BB5"/>
    <w:rsid w:val="00CF6AA3"/>
    <w:rsid w:val="00CF6BC5"/>
    <w:rsid w:val="00D002C6"/>
    <w:rsid w:val="00D0072E"/>
    <w:rsid w:val="00D01860"/>
    <w:rsid w:val="00D01B87"/>
    <w:rsid w:val="00D01DFD"/>
    <w:rsid w:val="00D01E3F"/>
    <w:rsid w:val="00D029E7"/>
    <w:rsid w:val="00D02AE0"/>
    <w:rsid w:val="00D02E2C"/>
    <w:rsid w:val="00D0372A"/>
    <w:rsid w:val="00D03959"/>
    <w:rsid w:val="00D03961"/>
    <w:rsid w:val="00D04773"/>
    <w:rsid w:val="00D05160"/>
    <w:rsid w:val="00D05191"/>
    <w:rsid w:val="00D055D5"/>
    <w:rsid w:val="00D0593F"/>
    <w:rsid w:val="00D05CDF"/>
    <w:rsid w:val="00D061CC"/>
    <w:rsid w:val="00D0637D"/>
    <w:rsid w:val="00D06C01"/>
    <w:rsid w:val="00D072C9"/>
    <w:rsid w:val="00D07D26"/>
    <w:rsid w:val="00D07DFF"/>
    <w:rsid w:val="00D11527"/>
    <w:rsid w:val="00D119FE"/>
    <w:rsid w:val="00D11B8C"/>
    <w:rsid w:val="00D11C5F"/>
    <w:rsid w:val="00D120D3"/>
    <w:rsid w:val="00D127D6"/>
    <w:rsid w:val="00D12862"/>
    <w:rsid w:val="00D12F91"/>
    <w:rsid w:val="00D13399"/>
    <w:rsid w:val="00D13440"/>
    <w:rsid w:val="00D135B9"/>
    <w:rsid w:val="00D1372A"/>
    <w:rsid w:val="00D137B4"/>
    <w:rsid w:val="00D13A7C"/>
    <w:rsid w:val="00D13AB3"/>
    <w:rsid w:val="00D13DD6"/>
    <w:rsid w:val="00D13EBC"/>
    <w:rsid w:val="00D145E5"/>
    <w:rsid w:val="00D15785"/>
    <w:rsid w:val="00D15A5A"/>
    <w:rsid w:val="00D15FDF"/>
    <w:rsid w:val="00D16115"/>
    <w:rsid w:val="00D16147"/>
    <w:rsid w:val="00D16A32"/>
    <w:rsid w:val="00D16F45"/>
    <w:rsid w:val="00D1777F"/>
    <w:rsid w:val="00D2097E"/>
    <w:rsid w:val="00D20CD0"/>
    <w:rsid w:val="00D20CDF"/>
    <w:rsid w:val="00D20F8D"/>
    <w:rsid w:val="00D21D9F"/>
    <w:rsid w:val="00D21DF7"/>
    <w:rsid w:val="00D21F9D"/>
    <w:rsid w:val="00D22AA6"/>
    <w:rsid w:val="00D2337C"/>
    <w:rsid w:val="00D23B64"/>
    <w:rsid w:val="00D23C83"/>
    <w:rsid w:val="00D242F9"/>
    <w:rsid w:val="00D24479"/>
    <w:rsid w:val="00D2476A"/>
    <w:rsid w:val="00D24D53"/>
    <w:rsid w:val="00D25B62"/>
    <w:rsid w:val="00D25CDB"/>
    <w:rsid w:val="00D25DA8"/>
    <w:rsid w:val="00D25E20"/>
    <w:rsid w:val="00D26026"/>
    <w:rsid w:val="00D267F1"/>
    <w:rsid w:val="00D27079"/>
    <w:rsid w:val="00D2718E"/>
    <w:rsid w:val="00D272E6"/>
    <w:rsid w:val="00D27335"/>
    <w:rsid w:val="00D2770C"/>
    <w:rsid w:val="00D2786B"/>
    <w:rsid w:val="00D27EC1"/>
    <w:rsid w:val="00D27F3A"/>
    <w:rsid w:val="00D3066B"/>
    <w:rsid w:val="00D30AA1"/>
    <w:rsid w:val="00D3100E"/>
    <w:rsid w:val="00D316B0"/>
    <w:rsid w:val="00D32169"/>
    <w:rsid w:val="00D325F3"/>
    <w:rsid w:val="00D32714"/>
    <w:rsid w:val="00D3289C"/>
    <w:rsid w:val="00D32BDC"/>
    <w:rsid w:val="00D32FF4"/>
    <w:rsid w:val="00D33A9C"/>
    <w:rsid w:val="00D342A0"/>
    <w:rsid w:val="00D346BC"/>
    <w:rsid w:val="00D34F82"/>
    <w:rsid w:val="00D356E2"/>
    <w:rsid w:val="00D359DB"/>
    <w:rsid w:val="00D37FDD"/>
    <w:rsid w:val="00D401BA"/>
    <w:rsid w:val="00D40623"/>
    <w:rsid w:val="00D4088B"/>
    <w:rsid w:val="00D40BBB"/>
    <w:rsid w:val="00D40FC8"/>
    <w:rsid w:val="00D41CDE"/>
    <w:rsid w:val="00D4210E"/>
    <w:rsid w:val="00D43310"/>
    <w:rsid w:val="00D43531"/>
    <w:rsid w:val="00D4359B"/>
    <w:rsid w:val="00D43917"/>
    <w:rsid w:val="00D44611"/>
    <w:rsid w:val="00D45970"/>
    <w:rsid w:val="00D45C39"/>
    <w:rsid w:val="00D45DDD"/>
    <w:rsid w:val="00D45E37"/>
    <w:rsid w:val="00D4662A"/>
    <w:rsid w:val="00D466FD"/>
    <w:rsid w:val="00D469A2"/>
    <w:rsid w:val="00D46CF2"/>
    <w:rsid w:val="00D46DC5"/>
    <w:rsid w:val="00D47B80"/>
    <w:rsid w:val="00D47FF1"/>
    <w:rsid w:val="00D506F0"/>
    <w:rsid w:val="00D51407"/>
    <w:rsid w:val="00D51627"/>
    <w:rsid w:val="00D51639"/>
    <w:rsid w:val="00D51DFF"/>
    <w:rsid w:val="00D51F71"/>
    <w:rsid w:val="00D5200E"/>
    <w:rsid w:val="00D522AD"/>
    <w:rsid w:val="00D52309"/>
    <w:rsid w:val="00D52819"/>
    <w:rsid w:val="00D52D36"/>
    <w:rsid w:val="00D52E39"/>
    <w:rsid w:val="00D54795"/>
    <w:rsid w:val="00D54AAC"/>
    <w:rsid w:val="00D551FE"/>
    <w:rsid w:val="00D55C03"/>
    <w:rsid w:val="00D5640D"/>
    <w:rsid w:val="00D56655"/>
    <w:rsid w:val="00D56C39"/>
    <w:rsid w:val="00D575F2"/>
    <w:rsid w:val="00D57733"/>
    <w:rsid w:val="00D579DC"/>
    <w:rsid w:val="00D57C53"/>
    <w:rsid w:val="00D57F34"/>
    <w:rsid w:val="00D60620"/>
    <w:rsid w:val="00D60CD9"/>
    <w:rsid w:val="00D6133C"/>
    <w:rsid w:val="00D61A5E"/>
    <w:rsid w:val="00D61A8C"/>
    <w:rsid w:val="00D6211B"/>
    <w:rsid w:val="00D6330B"/>
    <w:rsid w:val="00D63ABD"/>
    <w:rsid w:val="00D64305"/>
    <w:rsid w:val="00D66331"/>
    <w:rsid w:val="00D66774"/>
    <w:rsid w:val="00D66CE3"/>
    <w:rsid w:val="00D66F18"/>
    <w:rsid w:val="00D67B9D"/>
    <w:rsid w:val="00D67F1B"/>
    <w:rsid w:val="00D70522"/>
    <w:rsid w:val="00D70B19"/>
    <w:rsid w:val="00D70E1E"/>
    <w:rsid w:val="00D715E6"/>
    <w:rsid w:val="00D7161A"/>
    <w:rsid w:val="00D717D4"/>
    <w:rsid w:val="00D71E22"/>
    <w:rsid w:val="00D721B7"/>
    <w:rsid w:val="00D7257C"/>
    <w:rsid w:val="00D7264F"/>
    <w:rsid w:val="00D73320"/>
    <w:rsid w:val="00D73B0B"/>
    <w:rsid w:val="00D74560"/>
    <w:rsid w:val="00D76139"/>
    <w:rsid w:val="00D7636D"/>
    <w:rsid w:val="00D76498"/>
    <w:rsid w:val="00D7665C"/>
    <w:rsid w:val="00D76705"/>
    <w:rsid w:val="00D76727"/>
    <w:rsid w:val="00D77060"/>
    <w:rsid w:val="00D77092"/>
    <w:rsid w:val="00D77667"/>
    <w:rsid w:val="00D7798C"/>
    <w:rsid w:val="00D77ACA"/>
    <w:rsid w:val="00D77B7A"/>
    <w:rsid w:val="00D77BE2"/>
    <w:rsid w:val="00D77BEE"/>
    <w:rsid w:val="00D808A1"/>
    <w:rsid w:val="00D80D95"/>
    <w:rsid w:val="00D8116C"/>
    <w:rsid w:val="00D8141F"/>
    <w:rsid w:val="00D8207E"/>
    <w:rsid w:val="00D8291E"/>
    <w:rsid w:val="00D83E42"/>
    <w:rsid w:val="00D84279"/>
    <w:rsid w:val="00D846EA"/>
    <w:rsid w:val="00D84720"/>
    <w:rsid w:val="00D8494A"/>
    <w:rsid w:val="00D849A1"/>
    <w:rsid w:val="00D85767"/>
    <w:rsid w:val="00D859B4"/>
    <w:rsid w:val="00D8613E"/>
    <w:rsid w:val="00D8657F"/>
    <w:rsid w:val="00D868AC"/>
    <w:rsid w:val="00D87F82"/>
    <w:rsid w:val="00D90240"/>
    <w:rsid w:val="00D914CE"/>
    <w:rsid w:val="00D915B6"/>
    <w:rsid w:val="00D91DC6"/>
    <w:rsid w:val="00D91FC4"/>
    <w:rsid w:val="00D929F2"/>
    <w:rsid w:val="00D92C7C"/>
    <w:rsid w:val="00D93084"/>
    <w:rsid w:val="00D93677"/>
    <w:rsid w:val="00D93A5A"/>
    <w:rsid w:val="00D93ADD"/>
    <w:rsid w:val="00D93C8C"/>
    <w:rsid w:val="00D93E41"/>
    <w:rsid w:val="00D9414E"/>
    <w:rsid w:val="00D94672"/>
    <w:rsid w:val="00D94B0D"/>
    <w:rsid w:val="00D94B94"/>
    <w:rsid w:val="00D95223"/>
    <w:rsid w:val="00D95A73"/>
    <w:rsid w:val="00D95FAD"/>
    <w:rsid w:val="00D96179"/>
    <w:rsid w:val="00D964FB"/>
    <w:rsid w:val="00D967C6"/>
    <w:rsid w:val="00D9681F"/>
    <w:rsid w:val="00D96B86"/>
    <w:rsid w:val="00D96D7A"/>
    <w:rsid w:val="00D96F31"/>
    <w:rsid w:val="00D973E8"/>
    <w:rsid w:val="00DA01E0"/>
    <w:rsid w:val="00DA0258"/>
    <w:rsid w:val="00DA0897"/>
    <w:rsid w:val="00DA0B5D"/>
    <w:rsid w:val="00DA1B29"/>
    <w:rsid w:val="00DA1C51"/>
    <w:rsid w:val="00DA2012"/>
    <w:rsid w:val="00DA21E7"/>
    <w:rsid w:val="00DA2487"/>
    <w:rsid w:val="00DA24DF"/>
    <w:rsid w:val="00DA302C"/>
    <w:rsid w:val="00DA37D3"/>
    <w:rsid w:val="00DA388A"/>
    <w:rsid w:val="00DA41FC"/>
    <w:rsid w:val="00DA4228"/>
    <w:rsid w:val="00DA4578"/>
    <w:rsid w:val="00DA489D"/>
    <w:rsid w:val="00DA51D4"/>
    <w:rsid w:val="00DA6E53"/>
    <w:rsid w:val="00DA7C3A"/>
    <w:rsid w:val="00DB01B8"/>
    <w:rsid w:val="00DB0B8A"/>
    <w:rsid w:val="00DB0CE2"/>
    <w:rsid w:val="00DB0FD4"/>
    <w:rsid w:val="00DB1710"/>
    <w:rsid w:val="00DB1C87"/>
    <w:rsid w:val="00DB24B1"/>
    <w:rsid w:val="00DB2502"/>
    <w:rsid w:val="00DB2619"/>
    <w:rsid w:val="00DB2AC0"/>
    <w:rsid w:val="00DB2DCE"/>
    <w:rsid w:val="00DB2E1A"/>
    <w:rsid w:val="00DB3B50"/>
    <w:rsid w:val="00DB3C99"/>
    <w:rsid w:val="00DB431E"/>
    <w:rsid w:val="00DB4CF0"/>
    <w:rsid w:val="00DB6085"/>
    <w:rsid w:val="00DB6601"/>
    <w:rsid w:val="00DB6991"/>
    <w:rsid w:val="00DB703C"/>
    <w:rsid w:val="00DB7404"/>
    <w:rsid w:val="00DB76D4"/>
    <w:rsid w:val="00DB7A7E"/>
    <w:rsid w:val="00DB7A7F"/>
    <w:rsid w:val="00DC05C3"/>
    <w:rsid w:val="00DC1C79"/>
    <w:rsid w:val="00DC2BC5"/>
    <w:rsid w:val="00DC322E"/>
    <w:rsid w:val="00DC3259"/>
    <w:rsid w:val="00DC3CB5"/>
    <w:rsid w:val="00DC592C"/>
    <w:rsid w:val="00DC5DB2"/>
    <w:rsid w:val="00DC6BE2"/>
    <w:rsid w:val="00DC6DAC"/>
    <w:rsid w:val="00DC6DB5"/>
    <w:rsid w:val="00DC6ECE"/>
    <w:rsid w:val="00DC7AB2"/>
    <w:rsid w:val="00DD0331"/>
    <w:rsid w:val="00DD15B3"/>
    <w:rsid w:val="00DD20B9"/>
    <w:rsid w:val="00DD24BD"/>
    <w:rsid w:val="00DD28FB"/>
    <w:rsid w:val="00DD37E6"/>
    <w:rsid w:val="00DD3A12"/>
    <w:rsid w:val="00DD53A3"/>
    <w:rsid w:val="00DD53FB"/>
    <w:rsid w:val="00DD570D"/>
    <w:rsid w:val="00DD5FE8"/>
    <w:rsid w:val="00DD6A6B"/>
    <w:rsid w:val="00DD782D"/>
    <w:rsid w:val="00DE01A3"/>
    <w:rsid w:val="00DE0B61"/>
    <w:rsid w:val="00DE0BC9"/>
    <w:rsid w:val="00DE1102"/>
    <w:rsid w:val="00DE1371"/>
    <w:rsid w:val="00DE1402"/>
    <w:rsid w:val="00DE2180"/>
    <w:rsid w:val="00DE26D6"/>
    <w:rsid w:val="00DE2833"/>
    <w:rsid w:val="00DE35AE"/>
    <w:rsid w:val="00DE44C2"/>
    <w:rsid w:val="00DE4906"/>
    <w:rsid w:val="00DE49D7"/>
    <w:rsid w:val="00DE4D5D"/>
    <w:rsid w:val="00DE4DCB"/>
    <w:rsid w:val="00DE4E89"/>
    <w:rsid w:val="00DE5457"/>
    <w:rsid w:val="00DE5C5B"/>
    <w:rsid w:val="00DE5DF7"/>
    <w:rsid w:val="00DE622B"/>
    <w:rsid w:val="00DE6670"/>
    <w:rsid w:val="00DE6F44"/>
    <w:rsid w:val="00DF0763"/>
    <w:rsid w:val="00DF0D09"/>
    <w:rsid w:val="00DF1727"/>
    <w:rsid w:val="00DF1785"/>
    <w:rsid w:val="00DF1930"/>
    <w:rsid w:val="00DF193C"/>
    <w:rsid w:val="00DF22C9"/>
    <w:rsid w:val="00DF2879"/>
    <w:rsid w:val="00DF2944"/>
    <w:rsid w:val="00DF328E"/>
    <w:rsid w:val="00DF3880"/>
    <w:rsid w:val="00DF38AF"/>
    <w:rsid w:val="00DF3A91"/>
    <w:rsid w:val="00DF4A42"/>
    <w:rsid w:val="00DF4AE0"/>
    <w:rsid w:val="00DF511A"/>
    <w:rsid w:val="00DF5557"/>
    <w:rsid w:val="00DF5B75"/>
    <w:rsid w:val="00DF5BCD"/>
    <w:rsid w:val="00DF63E0"/>
    <w:rsid w:val="00DF659A"/>
    <w:rsid w:val="00DF6C36"/>
    <w:rsid w:val="00DF6F59"/>
    <w:rsid w:val="00DF7203"/>
    <w:rsid w:val="00DF73C6"/>
    <w:rsid w:val="00DF7452"/>
    <w:rsid w:val="00DF77C3"/>
    <w:rsid w:val="00E0063E"/>
    <w:rsid w:val="00E0066A"/>
    <w:rsid w:val="00E00688"/>
    <w:rsid w:val="00E00A9C"/>
    <w:rsid w:val="00E01B82"/>
    <w:rsid w:val="00E01D08"/>
    <w:rsid w:val="00E0253C"/>
    <w:rsid w:val="00E0278C"/>
    <w:rsid w:val="00E0294D"/>
    <w:rsid w:val="00E0327B"/>
    <w:rsid w:val="00E032FB"/>
    <w:rsid w:val="00E03D6E"/>
    <w:rsid w:val="00E03E62"/>
    <w:rsid w:val="00E04450"/>
    <w:rsid w:val="00E04CEC"/>
    <w:rsid w:val="00E04DF9"/>
    <w:rsid w:val="00E054E0"/>
    <w:rsid w:val="00E05C7A"/>
    <w:rsid w:val="00E05E33"/>
    <w:rsid w:val="00E05E3B"/>
    <w:rsid w:val="00E06841"/>
    <w:rsid w:val="00E06B6E"/>
    <w:rsid w:val="00E072A0"/>
    <w:rsid w:val="00E07C1C"/>
    <w:rsid w:val="00E07C87"/>
    <w:rsid w:val="00E104EB"/>
    <w:rsid w:val="00E104F6"/>
    <w:rsid w:val="00E10F93"/>
    <w:rsid w:val="00E1103D"/>
    <w:rsid w:val="00E11556"/>
    <w:rsid w:val="00E11B8B"/>
    <w:rsid w:val="00E122F6"/>
    <w:rsid w:val="00E125F5"/>
    <w:rsid w:val="00E12680"/>
    <w:rsid w:val="00E14659"/>
    <w:rsid w:val="00E1533A"/>
    <w:rsid w:val="00E155BA"/>
    <w:rsid w:val="00E158C3"/>
    <w:rsid w:val="00E15AF1"/>
    <w:rsid w:val="00E16218"/>
    <w:rsid w:val="00E1697B"/>
    <w:rsid w:val="00E16CA6"/>
    <w:rsid w:val="00E1745B"/>
    <w:rsid w:val="00E174CC"/>
    <w:rsid w:val="00E1779D"/>
    <w:rsid w:val="00E179AA"/>
    <w:rsid w:val="00E17CC8"/>
    <w:rsid w:val="00E20330"/>
    <w:rsid w:val="00E20565"/>
    <w:rsid w:val="00E205AF"/>
    <w:rsid w:val="00E2126F"/>
    <w:rsid w:val="00E213AB"/>
    <w:rsid w:val="00E22D6C"/>
    <w:rsid w:val="00E2379D"/>
    <w:rsid w:val="00E239EB"/>
    <w:rsid w:val="00E23E7E"/>
    <w:rsid w:val="00E2434D"/>
    <w:rsid w:val="00E24404"/>
    <w:rsid w:val="00E25125"/>
    <w:rsid w:val="00E25434"/>
    <w:rsid w:val="00E25936"/>
    <w:rsid w:val="00E25AA5"/>
    <w:rsid w:val="00E25E27"/>
    <w:rsid w:val="00E25E68"/>
    <w:rsid w:val="00E26651"/>
    <w:rsid w:val="00E2673A"/>
    <w:rsid w:val="00E26872"/>
    <w:rsid w:val="00E26B47"/>
    <w:rsid w:val="00E26ECC"/>
    <w:rsid w:val="00E27298"/>
    <w:rsid w:val="00E27431"/>
    <w:rsid w:val="00E276F9"/>
    <w:rsid w:val="00E27B26"/>
    <w:rsid w:val="00E27E13"/>
    <w:rsid w:val="00E27EF3"/>
    <w:rsid w:val="00E312EB"/>
    <w:rsid w:val="00E31804"/>
    <w:rsid w:val="00E31AC9"/>
    <w:rsid w:val="00E321B0"/>
    <w:rsid w:val="00E32282"/>
    <w:rsid w:val="00E32846"/>
    <w:rsid w:val="00E32CD5"/>
    <w:rsid w:val="00E33373"/>
    <w:rsid w:val="00E33454"/>
    <w:rsid w:val="00E33827"/>
    <w:rsid w:val="00E33B1E"/>
    <w:rsid w:val="00E33D13"/>
    <w:rsid w:val="00E34903"/>
    <w:rsid w:val="00E353C5"/>
    <w:rsid w:val="00E356E1"/>
    <w:rsid w:val="00E3596A"/>
    <w:rsid w:val="00E3602D"/>
    <w:rsid w:val="00E36D86"/>
    <w:rsid w:val="00E37110"/>
    <w:rsid w:val="00E377C1"/>
    <w:rsid w:val="00E402F5"/>
    <w:rsid w:val="00E40F20"/>
    <w:rsid w:val="00E418CD"/>
    <w:rsid w:val="00E41D28"/>
    <w:rsid w:val="00E42211"/>
    <w:rsid w:val="00E42E90"/>
    <w:rsid w:val="00E43847"/>
    <w:rsid w:val="00E438B6"/>
    <w:rsid w:val="00E4427D"/>
    <w:rsid w:val="00E452B7"/>
    <w:rsid w:val="00E4621E"/>
    <w:rsid w:val="00E464D7"/>
    <w:rsid w:val="00E46AFC"/>
    <w:rsid w:val="00E46EFA"/>
    <w:rsid w:val="00E4777A"/>
    <w:rsid w:val="00E4791C"/>
    <w:rsid w:val="00E47C4F"/>
    <w:rsid w:val="00E47F46"/>
    <w:rsid w:val="00E50D79"/>
    <w:rsid w:val="00E51834"/>
    <w:rsid w:val="00E51BBB"/>
    <w:rsid w:val="00E53296"/>
    <w:rsid w:val="00E53899"/>
    <w:rsid w:val="00E53D8B"/>
    <w:rsid w:val="00E53FF8"/>
    <w:rsid w:val="00E54842"/>
    <w:rsid w:val="00E54B7D"/>
    <w:rsid w:val="00E54D8D"/>
    <w:rsid w:val="00E55AB6"/>
    <w:rsid w:val="00E56583"/>
    <w:rsid w:val="00E56610"/>
    <w:rsid w:val="00E569E4"/>
    <w:rsid w:val="00E6002D"/>
    <w:rsid w:val="00E600BE"/>
    <w:rsid w:val="00E60639"/>
    <w:rsid w:val="00E6146F"/>
    <w:rsid w:val="00E61CA0"/>
    <w:rsid w:val="00E61EAC"/>
    <w:rsid w:val="00E629D2"/>
    <w:rsid w:val="00E62D9A"/>
    <w:rsid w:val="00E63341"/>
    <w:rsid w:val="00E633EC"/>
    <w:rsid w:val="00E63BA5"/>
    <w:rsid w:val="00E64595"/>
    <w:rsid w:val="00E645C6"/>
    <w:rsid w:val="00E65798"/>
    <w:rsid w:val="00E65E8B"/>
    <w:rsid w:val="00E67BEF"/>
    <w:rsid w:val="00E7073D"/>
    <w:rsid w:val="00E70F84"/>
    <w:rsid w:val="00E71722"/>
    <w:rsid w:val="00E71CBF"/>
    <w:rsid w:val="00E71EC5"/>
    <w:rsid w:val="00E72095"/>
    <w:rsid w:val="00E72115"/>
    <w:rsid w:val="00E7285F"/>
    <w:rsid w:val="00E72AA7"/>
    <w:rsid w:val="00E72AFF"/>
    <w:rsid w:val="00E72F3D"/>
    <w:rsid w:val="00E74B6A"/>
    <w:rsid w:val="00E7565D"/>
    <w:rsid w:val="00E759E4"/>
    <w:rsid w:val="00E75AE8"/>
    <w:rsid w:val="00E75CB7"/>
    <w:rsid w:val="00E76079"/>
    <w:rsid w:val="00E76A9B"/>
    <w:rsid w:val="00E76B59"/>
    <w:rsid w:val="00E76C2C"/>
    <w:rsid w:val="00E77013"/>
    <w:rsid w:val="00E77061"/>
    <w:rsid w:val="00E77898"/>
    <w:rsid w:val="00E77CEB"/>
    <w:rsid w:val="00E80324"/>
    <w:rsid w:val="00E81328"/>
    <w:rsid w:val="00E816CD"/>
    <w:rsid w:val="00E81897"/>
    <w:rsid w:val="00E81B62"/>
    <w:rsid w:val="00E83042"/>
    <w:rsid w:val="00E83510"/>
    <w:rsid w:val="00E8547E"/>
    <w:rsid w:val="00E85A45"/>
    <w:rsid w:val="00E85B4E"/>
    <w:rsid w:val="00E867F2"/>
    <w:rsid w:val="00E86AC4"/>
    <w:rsid w:val="00E871B7"/>
    <w:rsid w:val="00E8783D"/>
    <w:rsid w:val="00E87912"/>
    <w:rsid w:val="00E908D9"/>
    <w:rsid w:val="00E909CB"/>
    <w:rsid w:val="00E90B3B"/>
    <w:rsid w:val="00E90C00"/>
    <w:rsid w:val="00E91031"/>
    <w:rsid w:val="00E912B6"/>
    <w:rsid w:val="00E9160A"/>
    <w:rsid w:val="00E91EC1"/>
    <w:rsid w:val="00E92245"/>
    <w:rsid w:val="00E93AF4"/>
    <w:rsid w:val="00E943DE"/>
    <w:rsid w:val="00E94980"/>
    <w:rsid w:val="00E95316"/>
    <w:rsid w:val="00E954C9"/>
    <w:rsid w:val="00E9566B"/>
    <w:rsid w:val="00E95AB2"/>
    <w:rsid w:val="00E96383"/>
    <w:rsid w:val="00E9659B"/>
    <w:rsid w:val="00E96D72"/>
    <w:rsid w:val="00E977B8"/>
    <w:rsid w:val="00EA04C8"/>
    <w:rsid w:val="00EA0D3E"/>
    <w:rsid w:val="00EA0E65"/>
    <w:rsid w:val="00EA1097"/>
    <w:rsid w:val="00EA1BAD"/>
    <w:rsid w:val="00EA22A8"/>
    <w:rsid w:val="00EA2A83"/>
    <w:rsid w:val="00EA3067"/>
    <w:rsid w:val="00EA3159"/>
    <w:rsid w:val="00EA33AE"/>
    <w:rsid w:val="00EA3468"/>
    <w:rsid w:val="00EA3DBB"/>
    <w:rsid w:val="00EA3E09"/>
    <w:rsid w:val="00EA450C"/>
    <w:rsid w:val="00EA4627"/>
    <w:rsid w:val="00EA51EB"/>
    <w:rsid w:val="00EA5A6F"/>
    <w:rsid w:val="00EA5AD9"/>
    <w:rsid w:val="00EA5B77"/>
    <w:rsid w:val="00EA5C38"/>
    <w:rsid w:val="00EA67A1"/>
    <w:rsid w:val="00EB083F"/>
    <w:rsid w:val="00EB0FD7"/>
    <w:rsid w:val="00EB14DE"/>
    <w:rsid w:val="00EB156A"/>
    <w:rsid w:val="00EB168C"/>
    <w:rsid w:val="00EB1757"/>
    <w:rsid w:val="00EB1A19"/>
    <w:rsid w:val="00EB2044"/>
    <w:rsid w:val="00EB27D4"/>
    <w:rsid w:val="00EB38FF"/>
    <w:rsid w:val="00EB3CCB"/>
    <w:rsid w:val="00EB45F9"/>
    <w:rsid w:val="00EB4EC5"/>
    <w:rsid w:val="00EB515C"/>
    <w:rsid w:val="00EB551C"/>
    <w:rsid w:val="00EB5BA8"/>
    <w:rsid w:val="00EB5CC4"/>
    <w:rsid w:val="00EB5E59"/>
    <w:rsid w:val="00EB5ED5"/>
    <w:rsid w:val="00EB6426"/>
    <w:rsid w:val="00EB64AB"/>
    <w:rsid w:val="00EB67C4"/>
    <w:rsid w:val="00EB756F"/>
    <w:rsid w:val="00EC08A2"/>
    <w:rsid w:val="00EC1022"/>
    <w:rsid w:val="00EC1460"/>
    <w:rsid w:val="00EC1908"/>
    <w:rsid w:val="00EC1EE4"/>
    <w:rsid w:val="00EC2009"/>
    <w:rsid w:val="00EC2463"/>
    <w:rsid w:val="00EC285A"/>
    <w:rsid w:val="00EC3267"/>
    <w:rsid w:val="00EC36BD"/>
    <w:rsid w:val="00EC36D6"/>
    <w:rsid w:val="00EC4509"/>
    <w:rsid w:val="00EC46D0"/>
    <w:rsid w:val="00EC4CFF"/>
    <w:rsid w:val="00EC4E22"/>
    <w:rsid w:val="00EC4FF2"/>
    <w:rsid w:val="00EC5229"/>
    <w:rsid w:val="00EC525B"/>
    <w:rsid w:val="00EC5EF8"/>
    <w:rsid w:val="00EC605A"/>
    <w:rsid w:val="00EC6AE6"/>
    <w:rsid w:val="00EC7526"/>
    <w:rsid w:val="00EC759D"/>
    <w:rsid w:val="00EC79A1"/>
    <w:rsid w:val="00ED00E3"/>
    <w:rsid w:val="00ED01C0"/>
    <w:rsid w:val="00ED027A"/>
    <w:rsid w:val="00ED04D4"/>
    <w:rsid w:val="00ED0D28"/>
    <w:rsid w:val="00ED0D50"/>
    <w:rsid w:val="00ED1202"/>
    <w:rsid w:val="00ED15A5"/>
    <w:rsid w:val="00ED1717"/>
    <w:rsid w:val="00ED1AC6"/>
    <w:rsid w:val="00ED1FC6"/>
    <w:rsid w:val="00ED2070"/>
    <w:rsid w:val="00ED2B72"/>
    <w:rsid w:val="00ED370F"/>
    <w:rsid w:val="00ED3AD3"/>
    <w:rsid w:val="00ED4443"/>
    <w:rsid w:val="00ED48BB"/>
    <w:rsid w:val="00ED50B0"/>
    <w:rsid w:val="00ED53E5"/>
    <w:rsid w:val="00ED6BB4"/>
    <w:rsid w:val="00ED6DCB"/>
    <w:rsid w:val="00ED6DDD"/>
    <w:rsid w:val="00ED7067"/>
    <w:rsid w:val="00ED728D"/>
    <w:rsid w:val="00ED7836"/>
    <w:rsid w:val="00ED7850"/>
    <w:rsid w:val="00ED7A38"/>
    <w:rsid w:val="00ED7B74"/>
    <w:rsid w:val="00ED7F92"/>
    <w:rsid w:val="00EE11F1"/>
    <w:rsid w:val="00EE1D6B"/>
    <w:rsid w:val="00EE1F1A"/>
    <w:rsid w:val="00EE1F40"/>
    <w:rsid w:val="00EE2F08"/>
    <w:rsid w:val="00EE3419"/>
    <w:rsid w:val="00EE36B3"/>
    <w:rsid w:val="00EE375D"/>
    <w:rsid w:val="00EE3B9C"/>
    <w:rsid w:val="00EE3C5E"/>
    <w:rsid w:val="00EE4450"/>
    <w:rsid w:val="00EE4A16"/>
    <w:rsid w:val="00EE5F92"/>
    <w:rsid w:val="00EE7304"/>
    <w:rsid w:val="00EE7528"/>
    <w:rsid w:val="00EE76D0"/>
    <w:rsid w:val="00EE7861"/>
    <w:rsid w:val="00EF0D9E"/>
    <w:rsid w:val="00EF103C"/>
    <w:rsid w:val="00EF1890"/>
    <w:rsid w:val="00EF1DEC"/>
    <w:rsid w:val="00EF1ED1"/>
    <w:rsid w:val="00EF2788"/>
    <w:rsid w:val="00EF28FC"/>
    <w:rsid w:val="00EF298B"/>
    <w:rsid w:val="00EF2B89"/>
    <w:rsid w:val="00EF3E89"/>
    <w:rsid w:val="00EF410F"/>
    <w:rsid w:val="00EF430E"/>
    <w:rsid w:val="00EF4A3B"/>
    <w:rsid w:val="00EF4B3A"/>
    <w:rsid w:val="00EF4BF5"/>
    <w:rsid w:val="00EF4DEB"/>
    <w:rsid w:val="00EF52BE"/>
    <w:rsid w:val="00EF5363"/>
    <w:rsid w:val="00EF5C75"/>
    <w:rsid w:val="00EF5D7C"/>
    <w:rsid w:val="00EF5FE2"/>
    <w:rsid w:val="00EF697B"/>
    <w:rsid w:val="00EF7ACF"/>
    <w:rsid w:val="00EF7BBA"/>
    <w:rsid w:val="00EF7F6B"/>
    <w:rsid w:val="00F00730"/>
    <w:rsid w:val="00F01DB5"/>
    <w:rsid w:val="00F01F0C"/>
    <w:rsid w:val="00F02015"/>
    <w:rsid w:val="00F023F7"/>
    <w:rsid w:val="00F027DF"/>
    <w:rsid w:val="00F02BBA"/>
    <w:rsid w:val="00F02CDA"/>
    <w:rsid w:val="00F02DC2"/>
    <w:rsid w:val="00F03136"/>
    <w:rsid w:val="00F038AD"/>
    <w:rsid w:val="00F04192"/>
    <w:rsid w:val="00F0456B"/>
    <w:rsid w:val="00F0468D"/>
    <w:rsid w:val="00F0476A"/>
    <w:rsid w:val="00F049E2"/>
    <w:rsid w:val="00F04E9F"/>
    <w:rsid w:val="00F0598A"/>
    <w:rsid w:val="00F05C63"/>
    <w:rsid w:val="00F06894"/>
    <w:rsid w:val="00F06C9A"/>
    <w:rsid w:val="00F074D9"/>
    <w:rsid w:val="00F07D3D"/>
    <w:rsid w:val="00F11DC7"/>
    <w:rsid w:val="00F132C9"/>
    <w:rsid w:val="00F13B24"/>
    <w:rsid w:val="00F1485A"/>
    <w:rsid w:val="00F14B92"/>
    <w:rsid w:val="00F15A45"/>
    <w:rsid w:val="00F15E1F"/>
    <w:rsid w:val="00F16139"/>
    <w:rsid w:val="00F16476"/>
    <w:rsid w:val="00F16D9F"/>
    <w:rsid w:val="00F16EAB"/>
    <w:rsid w:val="00F173A7"/>
    <w:rsid w:val="00F17ABC"/>
    <w:rsid w:val="00F20068"/>
    <w:rsid w:val="00F200E0"/>
    <w:rsid w:val="00F2050F"/>
    <w:rsid w:val="00F207E1"/>
    <w:rsid w:val="00F20825"/>
    <w:rsid w:val="00F20E2D"/>
    <w:rsid w:val="00F20E70"/>
    <w:rsid w:val="00F20F38"/>
    <w:rsid w:val="00F21995"/>
    <w:rsid w:val="00F21C6E"/>
    <w:rsid w:val="00F22152"/>
    <w:rsid w:val="00F226AA"/>
    <w:rsid w:val="00F22D49"/>
    <w:rsid w:val="00F23669"/>
    <w:rsid w:val="00F23883"/>
    <w:rsid w:val="00F23BB5"/>
    <w:rsid w:val="00F24995"/>
    <w:rsid w:val="00F24B80"/>
    <w:rsid w:val="00F252F6"/>
    <w:rsid w:val="00F25921"/>
    <w:rsid w:val="00F259B1"/>
    <w:rsid w:val="00F26065"/>
    <w:rsid w:val="00F262B2"/>
    <w:rsid w:val="00F26471"/>
    <w:rsid w:val="00F26732"/>
    <w:rsid w:val="00F26AFC"/>
    <w:rsid w:val="00F27F57"/>
    <w:rsid w:val="00F305C4"/>
    <w:rsid w:val="00F30E82"/>
    <w:rsid w:val="00F310A0"/>
    <w:rsid w:val="00F3160E"/>
    <w:rsid w:val="00F31744"/>
    <w:rsid w:val="00F3185A"/>
    <w:rsid w:val="00F32016"/>
    <w:rsid w:val="00F32022"/>
    <w:rsid w:val="00F32314"/>
    <w:rsid w:val="00F32540"/>
    <w:rsid w:val="00F32F08"/>
    <w:rsid w:val="00F330A1"/>
    <w:rsid w:val="00F33960"/>
    <w:rsid w:val="00F341F7"/>
    <w:rsid w:val="00F348FC"/>
    <w:rsid w:val="00F35AEC"/>
    <w:rsid w:val="00F35D9A"/>
    <w:rsid w:val="00F36007"/>
    <w:rsid w:val="00F3609F"/>
    <w:rsid w:val="00F363F2"/>
    <w:rsid w:val="00F3649F"/>
    <w:rsid w:val="00F3695F"/>
    <w:rsid w:val="00F36DB4"/>
    <w:rsid w:val="00F37402"/>
    <w:rsid w:val="00F37972"/>
    <w:rsid w:val="00F37CD5"/>
    <w:rsid w:val="00F37F5D"/>
    <w:rsid w:val="00F403CC"/>
    <w:rsid w:val="00F40E0C"/>
    <w:rsid w:val="00F4107C"/>
    <w:rsid w:val="00F42085"/>
    <w:rsid w:val="00F422AD"/>
    <w:rsid w:val="00F4245F"/>
    <w:rsid w:val="00F42781"/>
    <w:rsid w:val="00F42DB9"/>
    <w:rsid w:val="00F42ECC"/>
    <w:rsid w:val="00F42F26"/>
    <w:rsid w:val="00F433B0"/>
    <w:rsid w:val="00F43BB3"/>
    <w:rsid w:val="00F43DA2"/>
    <w:rsid w:val="00F43F9D"/>
    <w:rsid w:val="00F447AD"/>
    <w:rsid w:val="00F448A4"/>
    <w:rsid w:val="00F44A0B"/>
    <w:rsid w:val="00F44E86"/>
    <w:rsid w:val="00F463C0"/>
    <w:rsid w:val="00F46795"/>
    <w:rsid w:val="00F46AE6"/>
    <w:rsid w:val="00F46C50"/>
    <w:rsid w:val="00F46C87"/>
    <w:rsid w:val="00F47F59"/>
    <w:rsid w:val="00F502C2"/>
    <w:rsid w:val="00F5049F"/>
    <w:rsid w:val="00F504A2"/>
    <w:rsid w:val="00F50645"/>
    <w:rsid w:val="00F506E3"/>
    <w:rsid w:val="00F517DC"/>
    <w:rsid w:val="00F51C25"/>
    <w:rsid w:val="00F51F2E"/>
    <w:rsid w:val="00F51F32"/>
    <w:rsid w:val="00F5214E"/>
    <w:rsid w:val="00F521D3"/>
    <w:rsid w:val="00F52AEA"/>
    <w:rsid w:val="00F52B2C"/>
    <w:rsid w:val="00F52BF0"/>
    <w:rsid w:val="00F52F35"/>
    <w:rsid w:val="00F533AC"/>
    <w:rsid w:val="00F5465B"/>
    <w:rsid w:val="00F54874"/>
    <w:rsid w:val="00F548AA"/>
    <w:rsid w:val="00F5545C"/>
    <w:rsid w:val="00F55511"/>
    <w:rsid w:val="00F559A0"/>
    <w:rsid w:val="00F55FE7"/>
    <w:rsid w:val="00F56093"/>
    <w:rsid w:val="00F56524"/>
    <w:rsid w:val="00F5655D"/>
    <w:rsid w:val="00F56577"/>
    <w:rsid w:val="00F565D0"/>
    <w:rsid w:val="00F56EDC"/>
    <w:rsid w:val="00F579B2"/>
    <w:rsid w:val="00F601AD"/>
    <w:rsid w:val="00F60272"/>
    <w:rsid w:val="00F6153F"/>
    <w:rsid w:val="00F61990"/>
    <w:rsid w:val="00F61DAC"/>
    <w:rsid w:val="00F61FAE"/>
    <w:rsid w:val="00F63081"/>
    <w:rsid w:val="00F63999"/>
    <w:rsid w:val="00F63AEE"/>
    <w:rsid w:val="00F63B69"/>
    <w:rsid w:val="00F64242"/>
    <w:rsid w:val="00F64477"/>
    <w:rsid w:val="00F6458E"/>
    <w:rsid w:val="00F64AE9"/>
    <w:rsid w:val="00F64B56"/>
    <w:rsid w:val="00F64BCD"/>
    <w:rsid w:val="00F653B5"/>
    <w:rsid w:val="00F6593E"/>
    <w:rsid w:val="00F65B7F"/>
    <w:rsid w:val="00F661D6"/>
    <w:rsid w:val="00F6691A"/>
    <w:rsid w:val="00F66EC8"/>
    <w:rsid w:val="00F678A0"/>
    <w:rsid w:val="00F67B56"/>
    <w:rsid w:val="00F70613"/>
    <w:rsid w:val="00F70991"/>
    <w:rsid w:val="00F709AF"/>
    <w:rsid w:val="00F70FD1"/>
    <w:rsid w:val="00F71816"/>
    <w:rsid w:val="00F71DA2"/>
    <w:rsid w:val="00F72130"/>
    <w:rsid w:val="00F72643"/>
    <w:rsid w:val="00F739F4"/>
    <w:rsid w:val="00F746EE"/>
    <w:rsid w:val="00F74CEC"/>
    <w:rsid w:val="00F74E3D"/>
    <w:rsid w:val="00F753BB"/>
    <w:rsid w:val="00F757B8"/>
    <w:rsid w:val="00F763DA"/>
    <w:rsid w:val="00F76709"/>
    <w:rsid w:val="00F76970"/>
    <w:rsid w:val="00F76B1C"/>
    <w:rsid w:val="00F774D4"/>
    <w:rsid w:val="00F77AE9"/>
    <w:rsid w:val="00F801C2"/>
    <w:rsid w:val="00F804EF"/>
    <w:rsid w:val="00F80DD3"/>
    <w:rsid w:val="00F8104D"/>
    <w:rsid w:val="00F812DC"/>
    <w:rsid w:val="00F81F45"/>
    <w:rsid w:val="00F82168"/>
    <w:rsid w:val="00F8290B"/>
    <w:rsid w:val="00F82D11"/>
    <w:rsid w:val="00F82FDE"/>
    <w:rsid w:val="00F83639"/>
    <w:rsid w:val="00F838D2"/>
    <w:rsid w:val="00F846D4"/>
    <w:rsid w:val="00F85366"/>
    <w:rsid w:val="00F86B03"/>
    <w:rsid w:val="00F87461"/>
    <w:rsid w:val="00F8757B"/>
    <w:rsid w:val="00F87B4C"/>
    <w:rsid w:val="00F87FED"/>
    <w:rsid w:val="00F9056B"/>
    <w:rsid w:val="00F910DF"/>
    <w:rsid w:val="00F92BA2"/>
    <w:rsid w:val="00F92CAF"/>
    <w:rsid w:val="00F92F56"/>
    <w:rsid w:val="00F92FFF"/>
    <w:rsid w:val="00F93F99"/>
    <w:rsid w:val="00F95B96"/>
    <w:rsid w:val="00F95F28"/>
    <w:rsid w:val="00F9621F"/>
    <w:rsid w:val="00F96228"/>
    <w:rsid w:val="00F9743E"/>
    <w:rsid w:val="00F97626"/>
    <w:rsid w:val="00F9785F"/>
    <w:rsid w:val="00F97933"/>
    <w:rsid w:val="00F97E0B"/>
    <w:rsid w:val="00FA0460"/>
    <w:rsid w:val="00FA0689"/>
    <w:rsid w:val="00FA0916"/>
    <w:rsid w:val="00FA1F2C"/>
    <w:rsid w:val="00FA2D25"/>
    <w:rsid w:val="00FA31DB"/>
    <w:rsid w:val="00FA3ED4"/>
    <w:rsid w:val="00FA4388"/>
    <w:rsid w:val="00FA5420"/>
    <w:rsid w:val="00FA5B2A"/>
    <w:rsid w:val="00FA5BB4"/>
    <w:rsid w:val="00FA6151"/>
    <w:rsid w:val="00FA6794"/>
    <w:rsid w:val="00FA67FF"/>
    <w:rsid w:val="00FA6946"/>
    <w:rsid w:val="00FA6BDE"/>
    <w:rsid w:val="00FA6C39"/>
    <w:rsid w:val="00FA748C"/>
    <w:rsid w:val="00FA7544"/>
    <w:rsid w:val="00FA7920"/>
    <w:rsid w:val="00FA7B46"/>
    <w:rsid w:val="00FB0163"/>
    <w:rsid w:val="00FB075E"/>
    <w:rsid w:val="00FB0A6E"/>
    <w:rsid w:val="00FB12BB"/>
    <w:rsid w:val="00FB148F"/>
    <w:rsid w:val="00FB1820"/>
    <w:rsid w:val="00FB2359"/>
    <w:rsid w:val="00FB2587"/>
    <w:rsid w:val="00FB26D7"/>
    <w:rsid w:val="00FB3563"/>
    <w:rsid w:val="00FB3C1B"/>
    <w:rsid w:val="00FB4267"/>
    <w:rsid w:val="00FB4736"/>
    <w:rsid w:val="00FB4C95"/>
    <w:rsid w:val="00FB6220"/>
    <w:rsid w:val="00FB638E"/>
    <w:rsid w:val="00FB6556"/>
    <w:rsid w:val="00FB69A7"/>
    <w:rsid w:val="00FB6E6C"/>
    <w:rsid w:val="00FB7078"/>
    <w:rsid w:val="00FB7179"/>
    <w:rsid w:val="00FB7415"/>
    <w:rsid w:val="00FB78CD"/>
    <w:rsid w:val="00FB7A31"/>
    <w:rsid w:val="00FC04E1"/>
    <w:rsid w:val="00FC054C"/>
    <w:rsid w:val="00FC070F"/>
    <w:rsid w:val="00FC0D7A"/>
    <w:rsid w:val="00FC1083"/>
    <w:rsid w:val="00FC1146"/>
    <w:rsid w:val="00FC15DE"/>
    <w:rsid w:val="00FC170E"/>
    <w:rsid w:val="00FC18AC"/>
    <w:rsid w:val="00FC1BA6"/>
    <w:rsid w:val="00FC1D87"/>
    <w:rsid w:val="00FC2BE2"/>
    <w:rsid w:val="00FC30FA"/>
    <w:rsid w:val="00FC363A"/>
    <w:rsid w:val="00FC3C65"/>
    <w:rsid w:val="00FC5161"/>
    <w:rsid w:val="00FC5502"/>
    <w:rsid w:val="00FC605D"/>
    <w:rsid w:val="00FC68D8"/>
    <w:rsid w:val="00FC69D7"/>
    <w:rsid w:val="00FC7249"/>
    <w:rsid w:val="00FC76C5"/>
    <w:rsid w:val="00FC7BA9"/>
    <w:rsid w:val="00FC7F00"/>
    <w:rsid w:val="00FD0712"/>
    <w:rsid w:val="00FD0903"/>
    <w:rsid w:val="00FD1801"/>
    <w:rsid w:val="00FD18C1"/>
    <w:rsid w:val="00FD1A75"/>
    <w:rsid w:val="00FD1E39"/>
    <w:rsid w:val="00FD1F3B"/>
    <w:rsid w:val="00FD200A"/>
    <w:rsid w:val="00FD271F"/>
    <w:rsid w:val="00FD294B"/>
    <w:rsid w:val="00FD3572"/>
    <w:rsid w:val="00FD4004"/>
    <w:rsid w:val="00FD41C1"/>
    <w:rsid w:val="00FD4550"/>
    <w:rsid w:val="00FD4EF3"/>
    <w:rsid w:val="00FD4F7B"/>
    <w:rsid w:val="00FD54A1"/>
    <w:rsid w:val="00FD6440"/>
    <w:rsid w:val="00FD6A41"/>
    <w:rsid w:val="00FD721E"/>
    <w:rsid w:val="00FE0777"/>
    <w:rsid w:val="00FE0C6D"/>
    <w:rsid w:val="00FE1112"/>
    <w:rsid w:val="00FE17F0"/>
    <w:rsid w:val="00FE1E29"/>
    <w:rsid w:val="00FE50CC"/>
    <w:rsid w:val="00FE5239"/>
    <w:rsid w:val="00FE5309"/>
    <w:rsid w:val="00FE6730"/>
    <w:rsid w:val="00FE67F7"/>
    <w:rsid w:val="00FE6B1F"/>
    <w:rsid w:val="00FE6C66"/>
    <w:rsid w:val="00FE7A4D"/>
    <w:rsid w:val="00FE7B4C"/>
    <w:rsid w:val="00FF06AF"/>
    <w:rsid w:val="00FF1135"/>
    <w:rsid w:val="00FF1591"/>
    <w:rsid w:val="00FF1731"/>
    <w:rsid w:val="00FF318E"/>
    <w:rsid w:val="00FF3466"/>
    <w:rsid w:val="00FF3585"/>
    <w:rsid w:val="00FF435D"/>
    <w:rsid w:val="00FF4678"/>
    <w:rsid w:val="00FF4844"/>
    <w:rsid w:val="00FF488D"/>
    <w:rsid w:val="00FF4A4C"/>
    <w:rsid w:val="00FF4D5B"/>
    <w:rsid w:val="00FF5868"/>
    <w:rsid w:val="00FF5E68"/>
    <w:rsid w:val="00FF5F37"/>
    <w:rsid w:val="00FF60E4"/>
    <w:rsid w:val="00FF620B"/>
    <w:rsid w:val="00FF664F"/>
    <w:rsid w:val="00FF75FD"/>
    <w:rsid w:val="00FF7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B2556"/>
  </w:style>
  <w:style w:type="paragraph" w:styleId="berschrift1">
    <w:name w:val="heading 1"/>
    <w:basedOn w:val="Standard"/>
    <w:next w:val="Standard"/>
    <w:link w:val="berschrift1Zchn"/>
    <w:uiPriority w:val="9"/>
    <w:qFormat/>
    <w:rsid w:val="006A2C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6A2C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D83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Akzent3">
    <w:name w:val="Light List Accent 3"/>
    <w:basedOn w:val="NormaleTabelle"/>
    <w:uiPriority w:val="61"/>
    <w:rsid w:val="00D83E4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ittleresRaster3-Akzent3">
    <w:name w:val="Medium Grid 3 Accent 3"/>
    <w:basedOn w:val="NormaleTabelle"/>
    <w:uiPriority w:val="69"/>
    <w:rsid w:val="00D83E4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HellesRaster-Akzent3">
    <w:name w:val="Light Grid Accent 3"/>
    <w:basedOn w:val="NormaleTabelle"/>
    <w:uiPriority w:val="62"/>
    <w:rsid w:val="00D83E4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Kopfzeile">
    <w:name w:val="header"/>
    <w:basedOn w:val="Standard"/>
    <w:link w:val="KopfzeileZchn"/>
    <w:uiPriority w:val="99"/>
    <w:unhideWhenUsed/>
    <w:rsid w:val="00BD1D94"/>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BD1D94"/>
  </w:style>
  <w:style w:type="paragraph" w:styleId="Fuzeile">
    <w:name w:val="footer"/>
    <w:basedOn w:val="Standard"/>
    <w:link w:val="FuzeileZchn"/>
    <w:uiPriority w:val="99"/>
    <w:unhideWhenUsed/>
    <w:rsid w:val="00BD1D94"/>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BD1D94"/>
  </w:style>
  <w:style w:type="paragraph" w:styleId="Listenabsatz">
    <w:name w:val="List Paragraph"/>
    <w:basedOn w:val="Standard"/>
    <w:uiPriority w:val="34"/>
    <w:qFormat/>
    <w:rsid w:val="00E909CB"/>
    <w:pPr>
      <w:ind w:left="720"/>
      <w:contextualSpacing/>
    </w:pPr>
  </w:style>
  <w:style w:type="character" w:customStyle="1" w:styleId="berschrift1Zchn">
    <w:name w:val="Überschrift 1 Zchn"/>
    <w:basedOn w:val="Absatz-Standardschriftart"/>
    <w:link w:val="berschrift1"/>
    <w:uiPriority w:val="9"/>
    <w:rsid w:val="006A2C29"/>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6A2C29"/>
    <w:rPr>
      <w:rFonts w:asciiTheme="majorHAnsi" w:eastAsiaTheme="majorEastAsia" w:hAnsiTheme="majorHAnsi" w:cstheme="majorBidi"/>
      <w:b/>
      <w:bCs/>
      <w:color w:val="4F81BD" w:themeColor="accent1"/>
      <w:sz w:val="26"/>
      <w:szCs w:val="26"/>
    </w:rPr>
  </w:style>
  <w:style w:type="paragraph" w:styleId="Sprechblasentext">
    <w:name w:val="Balloon Text"/>
    <w:basedOn w:val="Standard"/>
    <w:link w:val="SprechblasentextZchn"/>
    <w:uiPriority w:val="99"/>
    <w:semiHidden/>
    <w:unhideWhenUsed/>
    <w:rsid w:val="000451B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451B0"/>
    <w:rPr>
      <w:rFonts w:ascii="Tahoma" w:hAnsi="Tahoma" w:cs="Tahoma"/>
      <w:sz w:val="16"/>
      <w:szCs w:val="16"/>
    </w:rPr>
  </w:style>
  <w:style w:type="paragraph" w:styleId="Beschriftung">
    <w:name w:val="caption"/>
    <w:basedOn w:val="Standard"/>
    <w:next w:val="Standard"/>
    <w:uiPriority w:val="35"/>
    <w:unhideWhenUsed/>
    <w:qFormat/>
    <w:rsid w:val="000451B0"/>
    <w:pPr>
      <w:spacing w:line="240" w:lineRule="auto"/>
    </w:pPr>
    <w:rPr>
      <w:b/>
      <w:bCs/>
      <w:color w:val="4F81BD" w:themeColor="accent1"/>
      <w:sz w:val="18"/>
      <w:szCs w:val="18"/>
    </w:rPr>
  </w:style>
  <w:style w:type="paragraph" w:styleId="Funotentext">
    <w:name w:val="footnote text"/>
    <w:basedOn w:val="Standard"/>
    <w:link w:val="FunotentextZchn"/>
    <w:uiPriority w:val="99"/>
    <w:semiHidden/>
    <w:unhideWhenUsed/>
    <w:rsid w:val="00B2667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26674"/>
    <w:rPr>
      <w:sz w:val="20"/>
      <w:szCs w:val="20"/>
    </w:rPr>
  </w:style>
  <w:style w:type="character" w:styleId="Funotenzeichen">
    <w:name w:val="footnote reference"/>
    <w:basedOn w:val="Absatz-Standardschriftart"/>
    <w:uiPriority w:val="99"/>
    <w:semiHidden/>
    <w:unhideWhenUsed/>
    <w:rsid w:val="00B26674"/>
    <w:rPr>
      <w:vertAlign w:val="superscript"/>
    </w:rPr>
  </w:style>
  <w:style w:type="paragraph" w:styleId="Dokumentstruktur">
    <w:name w:val="Document Map"/>
    <w:basedOn w:val="Standard"/>
    <w:link w:val="DokumentstrukturZchn"/>
    <w:uiPriority w:val="99"/>
    <w:semiHidden/>
    <w:unhideWhenUsed/>
    <w:rsid w:val="00BC6033"/>
    <w:rPr>
      <w:rFonts w:ascii="SimSun" w:eastAsia="SimSun"/>
      <w:sz w:val="18"/>
      <w:szCs w:val="18"/>
    </w:rPr>
  </w:style>
  <w:style w:type="character" w:customStyle="1" w:styleId="DokumentstrukturZchn">
    <w:name w:val="Dokumentstruktur Zchn"/>
    <w:basedOn w:val="Absatz-Standardschriftart"/>
    <w:link w:val="Dokumentstruktur"/>
    <w:uiPriority w:val="99"/>
    <w:semiHidden/>
    <w:rsid w:val="00BC6033"/>
    <w:rPr>
      <w:rFonts w:ascii="SimSun" w:eastAsia="SimSun"/>
      <w:sz w:val="18"/>
      <w:szCs w:val="18"/>
    </w:rPr>
  </w:style>
  <w:style w:type="character" w:styleId="Kommentarzeichen">
    <w:name w:val="annotation reference"/>
    <w:basedOn w:val="Absatz-Standardschriftart"/>
    <w:uiPriority w:val="99"/>
    <w:semiHidden/>
    <w:unhideWhenUsed/>
    <w:rsid w:val="00B04ABF"/>
    <w:rPr>
      <w:sz w:val="16"/>
      <w:szCs w:val="16"/>
    </w:rPr>
  </w:style>
  <w:style w:type="paragraph" w:styleId="Kommentartext">
    <w:name w:val="annotation text"/>
    <w:basedOn w:val="Standard"/>
    <w:link w:val="KommentartextZchn"/>
    <w:uiPriority w:val="99"/>
    <w:semiHidden/>
    <w:unhideWhenUsed/>
    <w:rsid w:val="00B04AB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04ABF"/>
    <w:rPr>
      <w:sz w:val="20"/>
      <w:szCs w:val="20"/>
    </w:rPr>
  </w:style>
  <w:style w:type="paragraph" w:styleId="Kommentarthema">
    <w:name w:val="annotation subject"/>
    <w:basedOn w:val="Kommentartext"/>
    <w:next w:val="Kommentartext"/>
    <w:link w:val="KommentarthemaZchn"/>
    <w:uiPriority w:val="99"/>
    <w:semiHidden/>
    <w:unhideWhenUsed/>
    <w:rsid w:val="00B04ABF"/>
    <w:rPr>
      <w:b/>
      <w:bCs/>
    </w:rPr>
  </w:style>
  <w:style w:type="character" w:customStyle="1" w:styleId="KommentarthemaZchn">
    <w:name w:val="Kommentarthema Zchn"/>
    <w:basedOn w:val="KommentartextZchn"/>
    <w:link w:val="Kommentarthema"/>
    <w:uiPriority w:val="99"/>
    <w:semiHidden/>
    <w:rsid w:val="00B04ABF"/>
    <w:rPr>
      <w:b/>
      <w:bCs/>
      <w:sz w:val="20"/>
      <w:szCs w:val="20"/>
    </w:rPr>
  </w:style>
  <w:style w:type="paragraph" w:styleId="berarbeitung">
    <w:name w:val="Revision"/>
    <w:hidden/>
    <w:uiPriority w:val="99"/>
    <w:semiHidden/>
    <w:rsid w:val="00FA6794"/>
    <w:pPr>
      <w:spacing w:after="0" w:line="240" w:lineRule="auto"/>
    </w:pPr>
  </w:style>
  <w:style w:type="paragraph" w:customStyle="1" w:styleId="Default">
    <w:name w:val="Default"/>
    <w:rsid w:val="00FA6794"/>
    <w:pPr>
      <w:autoSpaceDE w:val="0"/>
      <w:autoSpaceDN w:val="0"/>
      <w:adjustRightInd w:val="0"/>
      <w:spacing w:after="0" w:line="240" w:lineRule="auto"/>
    </w:pPr>
    <w:rPr>
      <w:rFonts w:ascii="Arial" w:hAnsi="Arial" w:cs="Arial"/>
      <w:color w:val="000000"/>
      <w:sz w:val="24"/>
      <w:szCs w:val="24"/>
    </w:rPr>
  </w:style>
  <w:style w:type="paragraph" w:styleId="Literaturverzeichnis">
    <w:name w:val="Bibliography"/>
    <w:basedOn w:val="Standard"/>
    <w:next w:val="Standard"/>
    <w:uiPriority w:val="37"/>
    <w:unhideWhenUsed/>
    <w:rsid w:val="00F97626"/>
  </w:style>
  <w:style w:type="table" w:styleId="HelleSchattierung-Akzent3">
    <w:name w:val="Light Shading Accent 3"/>
    <w:basedOn w:val="NormaleTabelle"/>
    <w:uiPriority w:val="60"/>
    <w:rsid w:val="007A11E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StandardWeb">
    <w:name w:val="Normal (Web)"/>
    <w:basedOn w:val="Standard"/>
    <w:uiPriority w:val="99"/>
    <w:semiHidden/>
    <w:unhideWhenUsed/>
    <w:rsid w:val="009C6C4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B2556"/>
  </w:style>
  <w:style w:type="paragraph" w:styleId="berschrift1">
    <w:name w:val="heading 1"/>
    <w:basedOn w:val="Standard"/>
    <w:next w:val="Standard"/>
    <w:link w:val="berschrift1Zchn"/>
    <w:uiPriority w:val="9"/>
    <w:qFormat/>
    <w:rsid w:val="006A2C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6A2C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D83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Akzent3">
    <w:name w:val="Light List Accent 3"/>
    <w:basedOn w:val="NormaleTabelle"/>
    <w:uiPriority w:val="61"/>
    <w:rsid w:val="00D83E4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ittleresRaster3-Akzent3">
    <w:name w:val="Medium Grid 3 Accent 3"/>
    <w:basedOn w:val="NormaleTabelle"/>
    <w:uiPriority w:val="69"/>
    <w:rsid w:val="00D83E4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HellesRaster-Akzent3">
    <w:name w:val="Light Grid Accent 3"/>
    <w:basedOn w:val="NormaleTabelle"/>
    <w:uiPriority w:val="62"/>
    <w:rsid w:val="00D83E4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Kopfzeile">
    <w:name w:val="header"/>
    <w:basedOn w:val="Standard"/>
    <w:link w:val="KopfzeileZchn"/>
    <w:uiPriority w:val="99"/>
    <w:unhideWhenUsed/>
    <w:rsid w:val="00BD1D94"/>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BD1D94"/>
  </w:style>
  <w:style w:type="paragraph" w:styleId="Fuzeile">
    <w:name w:val="footer"/>
    <w:basedOn w:val="Standard"/>
    <w:link w:val="FuzeileZchn"/>
    <w:uiPriority w:val="99"/>
    <w:unhideWhenUsed/>
    <w:rsid w:val="00BD1D94"/>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BD1D94"/>
  </w:style>
  <w:style w:type="paragraph" w:styleId="Listenabsatz">
    <w:name w:val="List Paragraph"/>
    <w:basedOn w:val="Standard"/>
    <w:uiPriority w:val="34"/>
    <w:qFormat/>
    <w:rsid w:val="00E909CB"/>
    <w:pPr>
      <w:ind w:left="720"/>
      <w:contextualSpacing/>
    </w:pPr>
  </w:style>
  <w:style w:type="character" w:customStyle="1" w:styleId="berschrift1Zchn">
    <w:name w:val="Überschrift 1 Zchn"/>
    <w:basedOn w:val="Absatz-Standardschriftart"/>
    <w:link w:val="berschrift1"/>
    <w:uiPriority w:val="9"/>
    <w:rsid w:val="006A2C29"/>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6A2C29"/>
    <w:rPr>
      <w:rFonts w:asciiTheme="majorHAnsi" w:eastAsiaTheme="majorEastAsia" w:hAnsiTheme="majorHAnsi" w:cstheme="majorBidi"/>
      <w:b/>
      <w:bCs/>
      <w:color w:val="4F81BD" w:themeColor="accent1"/>
      <w:sz w:val="26"/>
      <w:szCs w:val="26"/>
    </w:rPr>
  </w:style>
  <w:style w:type="paragraph" w:styleId="Sprechblasentext">
    <w:name w:val="Balloon Text"/>
    <w:basedOn w:val="Standard"/>
    <w:link w:val="SprechblasentextZchn"/>
    <w:uiPriority w:val="99"/>
    <w:semiHidden/>
    <w:unhideWhenUsed/>
    <w:rsid w:val="000451B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451B0"/>
    <w:rPr>
      <w:rFonts w:ascii="Tahoma" w:hAnsi="Tahoma" w:cs="Tahoma"/>
      <w:sz w:val="16"/>
      <w:szCs w:val="16"/>
    </w:rPr>
  </w:style>
  <w:style w:type="paragraph" w:styleId="Beschriftung">
    <w:name w:val="caption"/>
    <w:basedOn w:val="Standard"/>
    <w:next w:val="Standard"/>
    <w:uiPriority w:val="35"/>
    <w:unhideWhenUsed/>
    <w:qFormat/>
    <w:rsid w:val="000451B0"/>
    <w:pPr>
      <w:spacing w:line="240" w:lineRule="auto"/>
    </w:pPr>
    <w:rPr>
      <w:b/>
      <w:bCs/>
      <w:color w:val="4F81BD" w:themeColor="accent1"/>
      <w:sz w:val="18"/>
      <w:szCs w:val="18"/>
    </w:rPr>
  </w:style>
  <w:style w:type="paragraph" w:styleId="Funotentext">
    <w:name w:val="footnote text"/>
    <w:basedOn w:val="Standard"/>
    <w:link w:val="FunotentextZchn"/>
    <w:uiPriority w:val="99"/>
    <w:semiHidden/>
    <w:unhideWhenUsed/>
    <w:rsid w:val="00B2667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26674"/>
    <w:rPr>
      <w:sz w:val="20"/>
      <w:szCs w:val="20"/>
    </w:rPr>
  </w:style>
  <w:style w:type="character" w:styleId="Funotenzeichen">
    <w:name w:val="footnote reference"/>
    <w:basedOn w:val="Absatz-Standardschriftart"/>
    <w:uiPriority w:val="99"/>
    <w:semiHidden/>
    <w:unhideWhenUsed/>
    <w:rsid w:val="00B26674"/>
    <w:rPr>
      <w:vertAlign w:val="superscript"/>
    </w:rPr>
  </w:style>
  <w:style w:type="paragraph" w:styleId="Dokumentstruktur">
    <w:name w:val="Document Map"/>
    <w:basedOn w:val="Standard"/>
    <w:link w:val="DokumentstrukturZchn"/>
    <w:uiPriority w:val="99"/>
    <w:semiHidden/>
    <w:unhideWhenUsed/>
    <w:rsid w:val="00BC6033"/>
    <w:rPr>
      <w:rFonts w:ascii="SimSun" w:eastAsia="SimSun"/>
      <w:sz w:val="18"/>
      <w:szCs w:val="18"/>
    </w:rPr>
  </w:style>
  <w:style w:type="character" w:customStyle="1" w:styleId="DokumentstrukturZchn">
    <w:name w:val="Dokumentstruktur Zchn"/>
    <w:basedOn w:val="Absatz-Standardschriftart"/>
    <w:link w:val="Dokumentstruktur"/>
    <w:uiPriority w:val="99"/>
    <w:semiHidden/>
    <w:rsid w:val="00BC6033"/>
    <w:rPr>
      <w:rFonts w:ascii="SimSun" w:eastAsia="SimSun"/>
      <w:sz w:val="18"/>
      <w:szCs w:val="18"/>
    </w:rPr>
  </w:style>
  <w:style w:type="character" w:styleId="Kommentarzeichen">
    <w:name w:val="annotation reference"/>
    <w:basedOn w:val="Absatz-Standardschriftart"/>
    <w:uiPriority w:val="99"/>
    <w:semiHidden/>
    <w:unhideWhenUsed/>
    <w:rsid w:val="00B04ABF"/>
    <w:rPr>
      <w:sz w:val="16"/>
      <w:szCs w:val="16"/>
    </w:rPr>
  </w:style>
  <w:style w:type="paragraph" w:styleId="Kommentartext">
    <w:name w:val="annotation text"/>
    <w:basedOn w:val="Standard"/>
    <w:link w:val="KommentartextZchn"/>
    <w:uiPriority w:val="99"/>
    <w:semiHidden/>
    <w:unhideWhenUsed/>
    <w:rsid w:val="00B04AB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04ABF"/>
    <w:rPr>
      <w:sz w:val="20"/>
      <w:szCs w:val="20"/>
    </w:rPr>
  </w:style>
  <w:style w:type="paragraph" w:styleId="Kommentarthema">
    <w:name w:val="annotation subject"/>
    <w:basedOn w:val="Kommentartext"/>
    <w:next w:val="Kommentartext"/>
    <w:link w:val="KommentarthemaZchn"/>
    <w:uiPriority w:val="99"/>
    <w:semiHidden/>
    <w:unhideWhenUsed/>
    <w:rsid w:val="00B04ABF"/>
    <w:rPr>
      <w:b/>
      <w:bCs/>
    </w:rPr>
  </w:style>
  <w:style w:type="character" w:customStyle="1" w:styleId="KommentarthemaZchn">
    <w:name w:val="Kommentarthema Zchn"/>
    <w:basedOn w:val="KommentartextZchn"/>
    <w:link w:val="Kommentarthema"/>
    <w:uiPriority w:val="99"/>
    <w:semiHidden/>
    <w:rsid w:val="00B04ABF"/>
    <w:rPr>
      <w:b/>
      <w:bCs/>
      <w:sz w:val="20"/>
      <w:szCs w:val="20"/>
    </w:rPr>
  </w:style>
  <w:style w:type="paragraph" w:styleId="berarbeitung">
    <w:name w:val="Revision"/>
    <w:hidden/>
    <w:uiPriority w:val="99"/>
    <w:semiHidden/>
    <w:rsid w:val="00FA6794"/>
    <w:pPr>
      <w:spacing w:after="0" w:line="240" w:lineRule="auto"/>
    </w:pPr>
  </w:style>
  <w:style w:type="paragraph" w:customStyle="1" w:styleId="Default">
    <w:name w:val="Default"/>
    <w:rsid w:val="00FA6794"/>
    <w:pPr>
      <w:autoSpaceDE w:val="0"/>
      <w:autoSpaceDN w:val="0"/>
      <w:adjustRightInd w:val="0"/>
      <w:spacing w:after="0" w:line="240" w:lineRule="auto"/>
    </w:pPr>
    <w:rPr>
      <w:rFonts w:ascii="Arial" w:hAnsi="Arial" w:cs="Arial"/>
      <w:color w:val="000000"/>
      <w:sz w:val="24"/>
      <w:szCs w:val="24"/>
    </w:rPr>
  </w:style>
  <w:style w:type="paragraph" w:styleId="Literaturverzeichnis">
    <w:name w:val="Bibliography"/>
    <w:basedOn w:val="Standard"/>
    <w:next w:val="Standard"/>
    <w:uiPriority w:val="37"/>
    <w:unhideWhenUsed/>
    <w:rsid w:val="00F97626"/>
  </w:style>
  <w:style w:type="table" w:styleId="HelleSchattierung-Akzent3">
    <w:name w:val="Light Shading Accent 3"/>
    <w:basedOn w:val="NormaleTabelle"/>
    <w:uiPriority w:val="60"/>
    <w:rsid w:val="007A11E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StandardWeb">
    <w:name w:val="Normal (Web)"/>
    <w:basedOn w:val="Standard"/>
    <w:uiPriority w:val="99"/>
    <w:semiHidden/>
    <w:unhideWhenUsed/>
    <w:rsid w:val="009C6C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95191">
      <w:bodyDiv w:val="1"/>
      <w:marLeft w:val="0"/>
      <w:marRight w:val="0"/>
      <w:marTop w:val="0"/>
      <w:marBottom w:val="0"/>
      <w:divBdr>
        <w:top w:val="none" w:sz="0" w:space="0" w:color="auto"/>
        <w:left w:val="none" w:sz="0" w:space="0" w:color="auto"/>
        <w:bottom w:val="none" w:sz="0" w:space="0" w:color="auto"/>
        <w:right w:val="none" w:sz="0" w:space="0" w:color="auto"/>
      </w:divBdr>
    </w:div>
    <w:div w:id="76288876">
      <w:bodyDiv w:val="1"/>
      <w:marLeft w:val="0"/>
      <w:marRight w:val="0"/>
      <w:marTop w:val="0"/>
      <w:marBottom w:val="0"/>
      <w:divBdr>
        <w:top w:val="none" w:sz="0" w:space="0" w:color="auto"/>
        <w:left w:val="none" w:sz="0" w:space="0" w:color="auto"/>
        <w:bottom w:val="none" w:sz="0" w:space="0" w:color="auto"/>
        <w:right w:val="none" w:sz="0" w:space="0" w:color="auto"/>
      </w:divBdr>
    </w:div>
    <w:div w:id="138769814">
      <w:bodyDiv w:val="1"/>
      <w:marLeft w:val="0"/>
      <w:marRight w:val="0"/>
      <w:marTop w:val="0"/>
      <w:marBottom w:val="0"/>
      <w:divBdr>
        <w:top w:val="none" w:sz="0" w:space="0" w:color="auto"/>
        <w:left w:val="none" w:sz="0" w:space="0" w:color="auto"/>
        <w:bottom w:val="none" w:sz="0" w:space="0" w:color="auto"/>
        <w:right w:val="none" w:sz="0" w:space="0" w:color="auto"/>
      </w:divBdr>
    </w:div>
    <w:div w:id="162597402">
      <w:bodyDiv w:val="1"/>
      <w:marLeft w:val="0"/>
      <w:marRight w:val="0"/>
      <w:marTop w:val="0"/>
      <w:marBottom w:val="0"/>
      <w:divBdr>
        <w:top w:val="none" w:sz="0" w:space="0" w:color="auto"/>
        <w:left w:val="none" w:sz="0" w:space="0" w:color="auto"/>
        <w:bottom w:val="none" w:sz="0" w:space="0" w:color="auto"/>
        <w:right w:val="none" w:sz="0" w:space="0" w:color="auto"/>
      </w:divBdr>
      <w:divsChild>
        <w:div w:id="804741144">
          <w:marLeft w:val="547"/>
          <w:marRight w:val="0"/>
          <w:marTop w:val="0"/>
          <w:marBottom w:val="0"/>
          <w:divBdr>
            <w:top w:val="none" w:sz="0" w:space="0" w:color="auto"/>
            <w:left w:val="none" w:sz="0" w:space="0" w:color="auto"/>
            <w:bottom w:val="none" w:sz="0" w:space="0" w:color="auto"/>
            <w:right w:val="none" w:sz="0" w:space="0" w:color="auto"/>
          </w:divBdr>
        </w:div>
        <w:div w:id="806433989">
          <w:marLeft w:val="547"/>
          <w:marRight w:val="0"/>
          <w:marTop w:val="0"/>
          <w:marBottom w:val="0"/>
          <w:divBdr>
            <w:top w:val="none" w:sz="0" w:space="0" w:color="auto"/>
            <w:left w:val="none" w:sz="0" w:space="0" w:color="auto"/>
            <w:bottom w:val="none" w:sz="0" w:space="0" w:color="auto"/>
            <w:right w:val="none" w:sz="0" w:space="0" w:color="auto"/>
          </w:divBdr>
        </w:div>
      </w:divsChild>
    </w:div>
    <w:div w:id="217206527">
      <w:bodyDiv w:val="1"/>
      <w:marLeft w:val="0"/>
      <w:marRight w:val="0"/>
      <w:marTop w:val="0"/>
      <w:marBottom w:val="0"/>
      <w:divBdr>
        <w:top w:val="none" w:sz="0" w:space="0" w:color="auto"/>
        <w:left w:val="none" w:sz="0" w:space="0" w:color="auto"/>
        <w:bottom w:val="none" w:sz="0" w:space="0" w:color="auto"/>
        <w:right w:val="none" w:sz="0" w:space="0" w:color="auto"/>
      </w:divBdr>
    </w:div>
    <w:div w:id="270088259">
      <w:bodyDiv w:val="1"/>
      <w:marLeft w:val="0"/>
      <w:marRight w:val="0"/>
      <w:marTop w:val="0"/>
      <w:marBottom w:val="0"/>
      <w:divBdr>
        <w:top w:val="none" w:sz="0" w:space="0" w:color="auto"/>
        <w:left w:val="none" w:sz="0" w:space="0" w:color="auto"/>
        <w:bottom w:val="none" w:sz="0" w:space="0" w:color="auto"/>
        <w:right w:val="none" w:sz="0" w:space="0" w:color="auto"/>
      </w:divBdr>
    </w:div>
    <w:div w:id="292638624">
      <w:bodyDiv w:val="1"/>
      <w:marLeft w:val="0"/>
      <w:marRight w:val="0"/>
      <w:marTop w:val="0"/>
      <w:marBottom w:val="0"/>
      <w:divBdr>
        <w:top w:val="none" w:sz="0" w:space="0" w:color="auto"/>
        <w:left w:val="none" w:sz="0" w:space="0" w:color="auto"/>
        <w:bottom w:val="none" w:sz="0" w:space="0" w:color="auto"/>
        <w:right w:val="none" w:sz="0" w:space="0" w:color="auto"/>
      </w:divBdr>
    </w:div>
    <w:div w:id="330572480">
      <w:bodyDiv w:val="1"/>
      <w:marLeft w:val="0"/>
      <w:marRight w:val="0"/>
      <w:marTop w:val="0"/>
      <w:marBottom w:val="0"/>
      <w:divBdr>
        <w:top w:val="none" w:sz="0" w:space="0" w:color="auto"/>
        <w:left w:val="none" w:sz="0" w:space="0" w:color="auto"/>
        <w:bottom w:val="none" w:sz="0" w:space="0" w:color="auto"/>
        <w:right w:val="none" w:sz="0" w:space="0" w:color="auto"/>
      </w:divBdr>
    </w:div>
    <w:div w:id="347298495">
      <w:bodyDiv w:val="1"/>
      <w:marLeft w:val="0"/>
      <w:marRight w:val="0"/>
      <w:marTop w:val="0"/>
      <w:marBottom w:val="0"/>
      <w:divBdr>
        <w:top w:val="none" w:sz="0" w:space="0" w:color="auto"/>
        <w:left w:val="none" w:sz="0" w:space="0" w:color="auto"/>
        <w:bottom w:val="none" w:sz="0" w:space="0" w:color="auto"/>
        <w:right w:val="none" w:sz="0" w:space="0" w:color="auto"/>
      </w:divBdr>
    </w:div>
    <w:div w:id="356589050">
      <w:bodyDiv w:val="1"/>
      <w:marLeft w:val="0"/>
      <w:marRight w:val="0"/>
      <w:marTop w:val="0"/>
      <w:marBottom w:val="0"/>
      <w:divBdr>
        <w:top w:val="none" w:sz="0" w:space="0" w:color="auto"/>
        <w:left w:val="none" w:sz="0" w:space="0" w:color="auto"/>
        <w:bottom w:val="none" w:sz="0" w:space="0" w:color="auto"/>
        <w:right w:val="none" w:sz="0" w:space="0" w:color="auto"/>
      </w:divBdr>
    </w:div>
    <w:div w:id="492797705">
      <w:bodyDiv w:val="1"/>
      <w:marLeft w:val="0"/>
      <w:marRight w:val="0"/>
      <w:marTop w:val="0"/>
      <w:marBottom w:val="0"/>
      <w:divBdr>
        <w:top w:val="none" w:sz="0" w:space="0" w:color="auto"/>
        <w:left w:val="none" w:sz="0" w:space="0" w:color="auto"/>
        <w:bottom w:val="none" w:sz="0" w:space="0" w:color="auto"/>
        <w:right w:val="none" w:sz="0" w:space="0" w:color="auto"/>
      </w:divBdr>
    </w:div>
    <w:div w:id="727262341">
      <w:bodyDiv w:val="1"/>
      <w:marLeft w:val="0"/>
      <w:marRight w:val="0"/>
      <w:marTop w:val="0"/>
      <w:marBottom w:val="0"/>
      <w:divBdr>
        <w:top w:val="none" w:sz="0" w:space="0" w:color="auto"/>
        <w:left w:val="none" w:sz="0" w:space="0" w:color="auto"/>
        <w:bottom w:val="none" w:sz="0" w:space="0" w:color="auto"/>
        <w:right w:val="none" w:sz="0" w:space="0" w:color="auto"/>
      </w:divBdr>
    </w:div>
    <w:div w:id="749078267">
      <w:bodyDiv w:val="1"/>
      <w:marLeft w:val="0"/>
      <w:marRight w:val="0"/>
      <w:marTop w:val="0"/>
      <w:marBottom w:val="0"/>
      <w:divBdr>
        <w:top w:val="none" w:sz="0" w:space="0" w:color="auto"/>
        <w:left w:val="none" w:sz="0" w:space="0" w:color="auto"/>
        <w:bottom w:val="none" w:sz="0" w:space="0" w:color="auto"/>
        <w:right w:val="none" w:sz="0" w:space="0" w:color="auto"/>
      </w:divBdr>
    </w:div>
    <w:div w:id="834800339">
      <w:bodyDiv w:val="1"/>
      <w:marLeft w:val="0"/>
      <w:marRight w:val="0"/>
      <w:marTop w:val="0"/>
      <w:marBottom w:val="0"/>
      <w:divBdr>
        <w:top w:val="none" w:sz="0" w:space="0" w:color="auto"/>
        <w:left w:val="none" w:sz="0" w:space="0" w:color="auto"/>
        <w:bottom w:val="none" w:sz="0" w:space="0" w:color="auto"/>
        <w:right w:val="none" w:sz="0" w:space="0" w:color="auto"/>
      </w:divBdr>
    </w:div>
    <w:div w:id="910386210">
      <w:bodyDiv w:val="1"/>
      <w:marLeft w:val="0"/>
      <w:marRight w:val="0"/>
      <w:marTop w:val="0"/>
      <w:marBottom w:val="0"/>
      <w:divBdr>
        <w:top w:val="none" w:sz="0" w:space="0" w:color="auto"/>
        <w:left w:val="none" w:sz="0" w:space="0" w:color="auto"/>
        <w:bottom w:val="none" w:sz="0" w:space="0" w:color="auto"/>
        <w:right w:val="none" w:sz="0" w:space="0" w:color="auto"/>
      </w:divBdr>
    </w:div>
    <w:div w:id="916087395">
      <w:bodyDiv w:val="1"/>
      <w:marLeft w:val="0"/>
      <w:marRight w:val="0"/>
      <w:marTop w:val="0"/>
      <w:marBottom w:val="0"/>
      <w:divBdr>
        <w:top w:val="none" w:sz="0" w:space="0" w:color="auto"/>
        <w:left w:val="none" w:sz="0" w:space="0" w:color="auto"/>
        <w:bottom w:val="none" w:sz="0" w:space="0" w:color="auto"/>
        <w:right w:val="none" w:sz="0" w:space="0" w:color="auto"/>
      </w:divBdr>
    </w:div>
    <w:div w:id="997153088">
      <w:bodyDiv w:val="1"/>
      <w:marLeft w:val="0"/>
      <w:marRight w:val="0"/>
      <w:marTop w:val="0"/>
      <w:marBottom w:val="0"/>
      <w:divBdr>
        <w:top w:val="none" w:sz="0" w:space="0" w:color="auto"/>
        <w:left w:val="none" w:sz="0" w:space="0" w:color="auto"/>
        <w:bottom w:val="none" w:sz="0" w:space="0" w:color="auto"/>
        <w:right w:val="none" w:sz="0" w:space="0" w:color="auto"/>
      </w:divBdr>
    </w:div>
    <w:div w:id="1028218156">
      <w:bodyDiv w:val="1"/>
      <w:marLeft w:val="0"/>
      <w:marRight w:val="0"/>
      <w:marTop w:val="0"/>
      <w:marBottom w:val="0"/>
      <w:divBdr>
        <w:top w:val="none" w:sz="0" w:space="0" w:color="auto"/>
        <w:left w:val="none" w:sz="0" w:space="0" w:color="auto"/>
        <w:bottom w:val="none" w:sz="0" w:space="0" w:color="auto"/>
        <w:right w:val="none" w:sz="0" w:space="0" w:color="auto"/>
      </w:divBdr>
    </w:div>
    <w:div w:id="1055739138">
      <w:bodyDiv w:val="1"/>
      <w:marLeft w:val="0"/>
      <w:marRight w:val="0"/>
      <w:marTop w:val="0"/>
      <w:marBottom w:val="0"/>
      <w:divBdr>
        <w:top w:val="none" w:sz="0" w:space="0" w:color="auto"/>
        <w:left w:val="none" w:sz="0" w:space="0" w:color="auto"/>
        <w:bottom w:val="none" w:sz="0" w:space="0" w:color="auto"/>
        <w:right w:val="none" w:sz="0" w:space="0" w:color="auto"/>
      </w:divBdr>
    </w:div>
    <w:div w:id="1090004502">
      <w:bodyDiv w:val="1"/>
      <w:marLeft w:val="0"/>
      <w:marRight w:val="0"/>
      <w:marTop w:val="0"/>
      <w:marBottom w:val="0"/>
      <w:divBdr>
        <w:top w:val="none" w:sz="0" w:space="0" w:color="auto"/>
        <w:left w:val="none" w:sz="0" w:space="0" w:color="auto"/>
        <w:bottom w:val="none" w:sz="0" w:space="0" w:color="auto"/>
        <w:right w:val="none" w:sz="0" w:space="0" w:color="auto"/>
      </w:divBdr>
    </w:div>
    <w:div w:id="1113983811">
      <w:bodyDiv w:val="1"/>
      <w:marLeft w:val="0"/>
      <w:marRight w:val="0"/>
      <w:marTop w:val="0"/>
      <w:marBottom w:val="0"/>
      <w:divBdr>
        <w:top w:val="none" w:sz="0" w:space="0" w:color="auto"/>
        <w:left w:val="none" w:sz="0" w:space="0" w:color="auto"/>
        <w:bottom w:val="none" w:sz="0" w:space="0" w:color="auto"/>
        <w:right w:val="none" w:sz="0" w:space="0" w:color="auto"/>
      </w:divBdr>
    </w:div>
    <w:div w:id="1116942942">
      <w:bodyDiv w:val="1"/>
      <w:marLeft w:val="0"/>
      <w:marRight w:val="0"/>
      <w:marTop w:val="0"/>
      <w:marBottom w:val="0"/>
      <w:divBdr>
        <w:top w:val="none" w:sz="0" w:space="0" w:color="auto"/>
        <w:left w:val="none" w:sz="0" w:space="0" w:color="auto"/>
        <w:bottom w:val="none" w:sz="0" w:space="0" w:color="auto"/>
        <w:right w:val="none" w:sz="0" w:space="0" w:color="auto"/>
      </w:divBdr>
    </w:div>
    <w:div w:id="1205680687">
      <w:bodyDiv w:val="1"/>
      <w:marLeft w:val="0"/>
      <w:marRight w:val="0"/>
      <w:marTop w:val="0"/>
      <w:marBottom w:val="0"/>
      <w:divBdr>
        <w:top w:val="none" w:sz="0" w:space="0" w:color="auto"/>
        <w:left w:val="none" w:sz="0" w:space="0" w:color="auto"/>
        <w:bottom w:val="none" w:sz="0" w:space="0" w:color="auto"/>
        <w:right w:val="none" w:sz="0" w:space="0" w:color="auto"/>
      </w:divBdr>
    </w:div>
    <w:div w:id="1312977707">
      <w:bodyDiv w:val="1"/>
      <w:marLeft w:val="0"/>
      <w:marRight w:val="0"/>
      <w:marTop w:val="0"/>
      <w:marBottom w:val="0"/>
      <w:divBdr>
        <w:top w:val="none" w:sz="0" w:space="0" w:color="auto"/>
        <w:left w:val="none" w:sz="0" w:space="0" w:color="auto"/>
        <w:bottom w:val="none" w:sz="0" w:space="0" w:color="auto"/>
        <w:right w:val="none" w:sz="0" w:space="0" w:color="auto"/>
      </w:divBdr>
    </w:div>
    <w:div w:id="1357075080">
      <w:bodyDiv w:val="1"/>
      <w:marLeft w:val="0"/>
      <w:marRight w:val="0"/>
      <w:marTop w:val="0"/>
      <w:marBottom w:val="0"/>
      <w:divBdr>
        <w:top w:val="none" w:sz="0" w:space="0" w:color="auto"/>
        <w:left w:val="none" w:sz="0" w:space="0" w:color="auto"/>
        <w:bottom w:val="none" w:sz="0" w:space="0" w:color="auto"/>
        <w:right w:val="none" w:sz="0" w:space="0" w:color="auto"/>
      </w:divBdr>
    </w:div>
    <w:div w:id="1380782448">
      <w:bodyDiv w:val="1"/>
      <w:marLeft w:val="0"/>
      <w:marRight w:val="0"/>
      <w:marTop w:val="0"/>
      <w:marBottom w:val="0"/>
      <w:divBdr>
        <w:top w:val="none" w:sz="0" w:space="0" w:color="auto"/>
        <w:left w:val="none" w:sz="0" w:space="0" w:color="auto"/>
        <w:bottom w:val="none" w:sz="0" w:space="0" w:color="auto"/>
        <w:right w:val="none" w:sz="0" w:space="0" w:color="auto"/>
      </w:divBdr>
    </w:div>
    <w:div w:id="1416048263">
      <w:bodyDiv w:val="1"/>
      <w:marLeft w:val="0"/>
      <w:marRight w:val="0"/>
      <w:marTop w:val="0"/>
      <w:marBottom w:val="0"/>
      <w:divBdr>
        <w:top w:val="none" w:sz="0" w:space="0" w:color="auto"/>
        <w:left w:val="none" w:sz="0" w:space="0" w:color="auto"/>
        <w:bottom w:val="none" w:sz="0" w:space="0" w:color="auto"/>
        <w:right w:val="none" w:sz="0" w:space="0" w:color="auto"/>
      </w:divBdr>
    </w:div>
    <w:div w:id="1501852849">
      <w:bodyDiv w:val="1"/>
      <w:marLeft w:val="0"/>
      <w:marRight w:val="0"/>
      <w:marTop w:val="0"/>
      <w:marBottom w:val="0"/>
      <w:divBdr>
        <w:top w:val="none" w:sz="0" w:space="0" w:color="auto"/>
        <w:left w:val="none" w:sz="0" w:space="0" w:color="auto"/>
        <w:bottom w:val="none" w:sz="0" w:space="0" w:color="auto"/>
        <w:right w:val="none" w:sz="0" w:space="0" w:color="auto"/>
      </w:divBdr>
    </w:div>
    <w:div w:id="1574586129">
      <w:bodyDiv w:val="1"/>
      <w:marLeft w:val="0"/>
      <w:marRight w:val="0"/>
      <w:marTop w:val="0"/>
      <w:marBottom w:val="0"/>
      <w:divBdr>
        <w:top w:val="none" w:sz="0" w:space="0" w:color="auto"/>
        <w:left w:val="none" w:sz="0" w:space="0" w:color="auto"/>
        <w:bottom w:val="none" w:sz="0" w:space="0" w:color="auto"/>
        <w:right w:val="none" w:sz="0" w:space="0" w:color="auto"/>
      </w:divBdr>
    </w:div>
    <w:div w:id="1582131491">
      <w:bodyDiv w:val="1"/>
      <w:marLeft w:val="0"/>
      <w:marRight w:val="0"/>
      <w:marTop w:val="0"/>
      <w:marBottom w:val="0"/>
      <w:divBdr>
        <w:top w:val="none" w:sz="0" w:space="0" w:color="auto"/>
        <w:left w:val="none" w:sz="0" w:space="0" w:color="auto"/>
        <w:bottom w:val="none" w:sz="0" w:space="0" w:color="auto"/>
        <w:right w:val="none" w:sz="0" w:space="0" w:color="auto"/>
      </w:divBdr>
    </w:div>
    <w:div w:id="1587029562">
      <w:bodyDiv w:val="1"/>
      <w:marLeft w:val="0"/>
      <w:marRight w:val="0"/>
      <w:marTop w:val="0"/>
      <w:marBottom w:val="0"/>
      <w:divBdr>
        <w:top w:val="none" w:sz="0" w:space="0" w:color="auto"/>
        <w:left w:val="none" w:sz="0" w:space="0" w:color="auto"/>
        <w:bottom w:val="none" w:sz="0" w:space="0" w:color="auto"/>
        <w:right w:val="none" w:sz="0" w:space="0" w:color="auto"/>
      </w:divBdr>
      <w:divsChild>
        <w:div w:id="705524276">
          <w:marLeft w:val="547"/>
          <w:marRight w:val="0"/>
          <w:marTop w:val="60"/>
          <w:marBottom w:val="60"/>
          <w:divBdr>
            <w:top w:val="none" w:sz="0" w:space="0" w:color="auto"/>
            <w:left w:val="none" w:sz="0" w:space="0" w:color="auto"/>
            <w:bottom w:val="none" w:sz="0" w:space="0" w:color="auto"/>
            <w:right w:val="none" w:sz="0" w:space="0" w:color="auto"/>
          </w:divBdr>
        </w:div>
      </w:divsChild>
    </w:div>
    <w:div w:id="1658731017">
      <w:bodyDiv w:val="1"/>
      <w:marLeft w:val="0"/>
      <w:marRight w:val="0"/>
      <w:marTop w:val="0"/>
      <w:marBottom w:val="0"/>
      <w:divBdr>
        <w:top w:val="none" w:sz="0" w:space="0" w:color="auto"/>
        <w:left w:val="none" w:sz="0" w:space="0" w:color="auto"/>
        <w:bottom w:val="none" w:sz="0" w:space="0" w:color="auto"/>
        <w:right w:val="none" w:sz="0" w:space="0" w:color="auto"/>
      </w:divBdr>
    </w:div>
    <w:div w:id="1708211723">
      <w:bodyDiv w:val="1"/>
      <w:marLeft w:val="0"/>
      <w:marRight w:val="0"/>
      <w:marTop w:val="0"/>
      <w:marBottom w:val="0"/>
      <w:divBdr>
        <w:top w:val="none" w:sz="0" w:space="0" w:color="auto"/>
        <w:left w:val="none" w:sz="0" w:space="0" w:color="auto"/>
        <w:bottom w:val="none" w:sz="0" w:space="0" w:color="auto"/>
        <w:right w:val="none" w:sz="0" w:space="0" w:color="auto"/>
      </w:divBdr>
    </w:div>
    <w:div w:id="1751081108">
      <w:bodyDiv w:val="1"/>
      <w:marLeft w:val="0"/>
      <w:marRight w:val="0"/>
      <w:marTop w:val="0"/>
      <w:marBottom w:val="0"/>
      <w:divBdr>
        <w:top w:val="none" w:sz="0" w:space="0" w:color="auto"/>
        <w:left w:val="none" w:sz="0" w:space="0" w:color="auto"/>
        <w:bottom w:val="none" w:sz="0" w:space="0" w:color="auto"/>
        <w:right w:val="none" w:sz="0" w:space="0" w:color="auto"/>
      </w:divBdr>
    </w:div>
    <w:div w:id="1796824995">
      <w:bodyDiv w:val="1"/>
      <w:marLeft w:val="0"/>
      <w:marRight w:val="0"/>
      <w:marTop w:val="0"/>
      <w:marBottom w:val="0"/>
      <w:divBdr>
        <w:top w:val="none" w:sz="0" w:space="0" w:color="auto"/>
        <w:left w:val="none" w:sz="0" w:space="0" w:color="auto"/>
        <w:bottom w:val="none" w:sz="0" w:space="0" w:color="auto"/>
        <w:right w:val="none" w:sz="0" w:space="0" w:color="auto"/>
      </w:divBdr>
    </w:div>
    <w:div w:id="1798180647">
      <w:bodyDiv w:val="1"/>
      <w:marLeft w:val="0"/>
      <w:marRight w:val="0"/>
      <w:marTop w:val="0"/>
      <w:marBottom w:val="0"/>
      <w:divBdr>
        <w:top w:val="none" w:sz="0" w:space="0" w:color="auto"/>
        <w:left w:val="none" w:sz="0" w:space="0" w:color="auto"/>
        <w:bottom w:val="none" w:sz="0" w:space="0" w:color="auto"/>
        <w:right w:val="none" w:sz="0" w:space="0" w:color="auto"/>
      </w:divBdr>
    </w:div>
    <w:div w:id="1814562970">
      <w:bodyDiv w:val="1"/>
      <w:marLeft w:val="0"/>
      <w:marRight w:val="0"/>
      <w:marTop w:val="0"/>
      <w:marBottom w:val="0"/>
      <w:divBdr>
        <w:top w:val="none" w:sz="0" w:space="0" w:color="auto"/>
        <w:left w:val="none" w:sz="0" w:space="0" w:color="auto"/>
        <w:bottom w:val="none" w:sz="0" w:space="0" w:color="auto"/>
        <w:right w:val="none" w:sz="0" w:space="0" w:color="auto"/>
      </w:divBdr>
    </w:div>
    <w:div w:id="1850288383">
      <w:bodyDiv w:val="1"/>
      <w:marLeft w:val="0"/>
      <w:marRight w:val="0"/>
      <w:marTop w:val="0"/>
      <w:marBottom w:val="0"/>
      <w:divBdr>
        <w:top w:val="none" w:sz="0" w:space="0" w:color="auto"/>
        <w:left w:val="none" w:sz="0" w:space="0" w:color="auto"/>
        <w:bottom w:val="none" w:sz="0" w:space="0" w:color="auto"/>
        <w:right w:val="none" w:sz="0" w:space="0" w:color="auto"/>
      </w:divBdr>
    </w:div>
    <w:div w:id="1913736546">
      <w:bodyDiv w:val="1"/>
      <w:marLeft w:val="0"/>
      <w:marRight w:val="0"/>
      <w:marTop w:val="0"/>
      <w:marBottom w:val="0"/>
      <w:divBdr>
        <w:top w:val="none" w:sz="0" w:space="0" w:color="auto"/>
        <w:left w:val="none" w:sz="0" w:space="0" w:color="auto"/>
        <w:bottom w:val="none" w:sz="0" w:space="0" w:color="auto"/>
        <w:right w:val="none" w:sz="0" w:space="0" w:color="auto"/>
      </w:divBdr>
    </w:div>
    <w:div w:id="1920629309">
      <w:bodyDiv w:val="1"/>
      <w:marLeft w:val="0"/>
      <w:marRight w:val="0"/>
      <w:marTop w:val="0"/>
      <w:marBottom w:val="0"/>
      <w:divBdr>
        <w:top w:val="none" w:sz="0" w:space="0" w:color="auto"/>
        <w:left w:val="none" w:sz="0" w:space="0" w:color="auto"/>
        <w:bottom w:val="none" w:sz="0" w:space="0" w:color="auto"/>
        <w:right w:val="none" w:sz="0" w:space="0" w:color="auto"/>
      </w:divBdr>
    </w:div>
    <w:div w:id="1984968888">
      <w:bodyDiv w:val="1"/>
      <w:marLeft w:val="0"/>
      <w:marRight w:val="0"/>
      <w:marTop w:val="0"/>
      <w:marBottom w:val="0"/>
      <w:divBdr>
        <w:top w:val="none" w:sz="0" w:space="0" w:color="auto"/>
        <w:left w:val="none" w:sz="0" w:space="0" w:color="auto"/>
        <w:bottom w:val="none" w:sz="0" w:space="0" w:color="auto"/>
        <w:right w:val="none" w:sz="0" w:space="0" w:color="auto"/>
      </w:divBdr>
    </w:div>
    <w:div w:id="201602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NGM15</b:Tag>
    <b:SourceType>Report</b:SourceType>
    <b:Guid>{1DB03D22-38E7-4926-83E4-B9A2DA275D98}</b:Guid>
    <b:Title>5G White Paper</b:Title>
    <b:Year>2015</b:Year>
    <b:Author>
      <b:Author>
        <b:Corporate>NGMN Alliance</b:Corporate>
      </b:Author>
    </b:Author>
    <b:RefOrder>1</b:RefOrder>
  </b:Source>
  <b:Source>
    <b:Tag>ITU19</b:Tag>
    <b:SourceType>Report</b:SourceType>
    <b:Guid>{60A19FDD-67D3-43CF-AADF-A8DA298B8B08}</b:Guid>
    <b:Author>
      <b:Author>
        <b:Corporate>ITU-R</b:Corporate>
      </b:Author>
    </b:Author>
    <b:Title>IMT Vision - Framework and overall objectives of the future development of IMT for 2020 and beyond. Recommendation M.2083</b:Title>
    <b:Year>2015</b:Year>
    <b:ThesisType>Recommendation</b:ThesisType>
    <b:StandardNumber>M.2083</b:StandardNumber>
    <b:RefOrder>2</b:RefOrder>
  </b:Source>
</b:Sources>
</file>

<file path=customXml/itemProps1.xml><?xml version="1.0" encoding="utf-8"?>
<ds:datastoreItem xmlns:ds="http://schemas.openxmlformats.org/officeDocument/2006/customXml" ds:itemID="{A20F7799-26D2-4883-BAA4-419A0A3A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3148</Words>
  <Characters>19839</Characters>
  <Application>Microsoft Office Word</Application>
  <DocSecurity>0</DocSecurity>
  <Lines>165</Lines>
  <Paragraphs>45</Paragraphs>
  <ScaleCrop>false</ScaleCrop>
  <HeadingPairs>
    <vt:vector size="8" baseType="variant">
      <vt:variant>
        <vt:lpstr>Titel</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
      <vt:lpstr/>
      <vt:lpstr/>
      <vt:lpstr/>
    </vt:vector>
  </TitlesOfParts>
  <Company>DOCOMO Communications Laboratories Europe GmbH</Company>
  <LinksUpToDate>false</LinksUpToDate>
  <CharactersWithSpaces>22942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Agyapong, Patrick</dc:creator>
  <cp:lastModifiedBy>Klaus Moschner</cp:lastModifiedBy>
  <cp:revision>2</cp:revision>
  <dcterms:created xsi:type="dcterms:W3CDTF">2016-06-05T06:47:00Z</dcterms:created>
  <dcterms:modified xsi:type="dcterms:W3CDTF">2016-06-05T06:47:00Z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1450843200</vt:lpwstr>
  </property>
</Properties>
</file>